
<file path=[Content_Types].xml><?xml version="1.0" encoding="utf-8"?>
<Types xmlns="http://schemas.openxmlformats.org/package/2006/content-types">
  <Default Extension="xlsm" ContentType="application/vnd.ms-excel.sheet.macroEnabled.12"/>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DCDCB3" w14:textId="4CC03350" w:rsidR="00FF51E7" w:rsidRDefault="00FF51E7" w:rsidP="002371CA">
      <w:pPr>
        <w:spacing w:after="0" w:line="360" w:lineRule="auto"/>
      </w:pPr>
    </w:p>
    <w:p w14:paraId="7B37D554" w14:textId="083E355F" w:rsidR="00630041" w:rsidRDefault="00630041" w:rsidP="002371CA">
      <w:pPr>
        <w:spacing w:after="0" w:line="360" w:lineRule="auto"/>
      </w:pPr>
    </w:p>
    <w:p w14:paraId="400E4B6F" w14:textId="11AAA103" w:rsidR="00A57F8F" w:rsidRDefault="00A57F8F" w:rsidP="00CF2357">
      <w:pPr>
        <w:rPr>
          <w:lang w:eastAsia="tr-TR"/>
        </w:rPr>
      </w:pPr>
    </w:p>
    <w:p w14:paraId="407F5845" w14:textId="2934206A" w:rsidR="004C4976" w:rsidRDefault="004C4976" w:rsidP="00CF2357">
      <w:pPr>
        <w:rPr>
          <w:lang w:eastAsia="tr-TR"/>
        </w:rPr>
      </w:pPr>
    </w:p>
    <w:p w14:paraId="0C075C9A" w14:textId="559238C7" w:rsidR="004C4976" w:rsidRDefault="004C4976" w:rsidP="00CF2357">
      <w:pPr>
        <w:rPr>
          <w:lang w:eastAsia="tr-TR"/>
        </w:rPr>
      </w:pPr>
      <w:r>
        <w:rPr>
          <w:noProof/>
          <w:lang w:eastAsia="tr-TR"/>
        </w:rPr>
        <mc:AlternateContent>
          <mc:Choice Requires="wps">
            <w:drawing>
              <wp:anchor distT="45720" distB="45720" distL="114300" distR="114300" simplePos="0" relativeHeight="251657728" behindDoc="0" locked="0" layoutInCell="1" allowOverlap="1" wp14:anchorId="25F69D86" wp14:editId="415F100B">
                <wp:simplePos x="0" y="0"/>
                <wp:positionH relativeFrom="column">
                  <wp:posOffset>52705</wp:posOffset>
                </wp:positionH>
                <wp:positionV relativeFrom="paragraph">
                  <wp:posOffset>336550</wp:posOffset>
                </wp:positionV>
                <wp:extent cx="5724525" cy="3638550"/>
                <wp:effectExtent l="0" t="0" r="28575" b="1905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3638550"/>
                        </a:xfrm>
                        <a:prstGeom prst="rect">
                          <a:avLst/>
                        </a:prstGeom>
                        <a:noFill/>
                        <a:ln w="19050">
                          <a:solidFill>
                            <a:schemeClr val="accent1">
                              <a:lumMod val="50000"/>
                            </a:schemeClr>
                          </a:solidFill>
                          <a:headEnd/>
                          <a:tailEnd/>
                        </a:ln>
                      </wps:spPr>
                      <wps:style>
                        <a:lnRef idx="2">
                          <a:schemeClr val="accent1"/>
                        </a:lnRef>
                        <a:fillRef idx="1">
                          <a:schemeClr val="lt1"/>
                        </a:fillRef>
                        <a:effectRef idx="0">
                          <a:schemeClr val="accent1"/>
                        </a:effectRef>
                        <a:fontRef idx="minor">
                          <a:schemeClr val="dk1"/>
                        </a:fontRef>
                      </wps:style>
                      <wps:txbx>
                        <w:txbxContent>
                          <w:p w14:paraId="189E65EE" w14:textId="77777777" w:rsidR="00CD1A99" w:rsidRPr="00A57F8F" w:rsidRDefault="00CD1A99" w:rsidP="00556ED4">
                            <w:pPr>
                              <w:spacing w:after="0" w:line="240" w:lineRule="auto"/>
                              <w:ind w:left="567" w:right="605"/>
                              <w:rPr>
                                <w:rFonts w:cs="Arial"/>
                                <w:b/>
                                <w:color w:val="002060"/>
                                <w:sz w:val="48"/>
                                <w:szCs w:val="48"/>
                              </w:rPr>
                            </w:pPr>
                          </w:p>
                          <w:p w14:paraId="3360D401" w14:textId="0F0579A9" w:rsidR="00CD1A99" w:rsidRPr="003F1238" w:rsidRDefault="00CD1A99" w:rsidP="00556ED4">
                            <w:pPr>
                              <w:spacing w:after="0" w:line="240" w:lineRule="auto"/>
                              <w:ind w:left="567" w:right="605"/>
                              <w:rPr>
                                <w:rFonts w:cs="Arial"/>
                                <w:b/>
                                <w:color w:val="002060"/>
                                <w:sz w:val="48"/>
                                <w:szCs w:val="48"/>
                              </w:rPr>
                            </w:pPr>
                            <w:r w:rsidRPr="003F1238">
                              <w:rPr>
                                <w:rFonts w:cs="Arial"/>
                                <w:b/>
                                <w:color w:val="002060"/>
                                <w:sz w:val="48"/>
                                <w:szCs w:val="48"/>
                              </w:rPr>
                              <w:t>MDCG 2022-4</w:t>
                            </w:r>
                            <w:r w:rsidR="00C00031" w:rsidRPr="003F1238">
                              <w:rPr>
                                <w:rFonts w:cs="Arial"/>
                                <w:b/>
                                <w:color w:val="002060"/>
                                <w:sz w:val="48"/>
                                <w:szCs w:val="48"/>
                              </w:rPr>
                              <w:t xml:space="preserve"> Rev.1</w:t>
                            </w:r>
                          </w:p>
                          <w:p w14:paraId="49E20111" w14:textId="77777777" w:rsidR="00C077F7" w:rsidRPr="003F1238" w:rsidRDefault="00C077F7" w:rsidP="00556ED4">
                            <w:pPr>
                              <w:spacing w:after="0" w:line="240" w:lineRule="auto"/>
                              <w:ind w:left="567" w:right="605"/>
                              <w:rPr>
                                <w:rFonts w:cs="Arial"/>
                                <w:b/>
                                <w:color w:val="002060"/>
                                <w:sz w:val="48"/>
                                <w:szCs w:val="48"/>
                              </w:rPr>
                            </w:pPr>
                          </w:p>
                          <w:p w14:paraId="57FC674B" w14:textId="2ADCC648" w:rsidR="00CD1A99" w:rsidRPr="003F1238" w:rsidRDefault="00CD1A99" w:rsidP="007050A9">
                            <w:pPr>
                              <w:spacing w:after="0" w:line="240" w:lineRule="auto"/>
                              <w:ind w:left="567" w:right="321"/>
                              <w:rPr>
                                <w:rFonts w:cs="Arial"/>
                                <w:b/>
                                <w:color w:val="002060"/>
                                <w:sz w:val="36"/>
                                <w:szCs w:val="48"/>
                              </w:rPr>
                            </w:pPr>
                            <w:r w:rsidRPr="003F1238">
                              <w:rPr>
                                <w:rFonts w:cs="Arial"/>
                                <w:b/>
                                <w:color w:val="002060"/>
                                <w:sz w:val="36"/>
                                <w:szCs w:val="48"/>
                              </w:rPr>
                              <w:t xml:space="preserve">MDD veya AIMDD'ye göre </w:t>
                            </w:r>
                            <w:r w:rsidR="004004C5" w:rsidRPr="003F1238">
                              <w:rPr>
                                <w:rFonts w:cs="Arial"/>
                                <w:b/>
                                <w:color w:val="002060"/>
                                <w:sz w:val="36"/>
                                <w:szCs w:val="48"/>
                              </w:rPr>
                              <w:t>sertifikaların kapsadığı</w:t>
                            </w:r>
                            <w:r w:rsidRPr="003F1238">
                              <w:rPr>
                                <w:rFonts w:cs="Arial"/>
                                <w:b/>
                                <w:color w:val="002060"/>
                                <w:sz w:val="36"/>
                                <w:szCs w:val="48"/>
                              </w:rPr>
                              <w:t xml:space="preserve"> cihazlarla ilgili olarak MDR </w:t>
                            </w:r>
                            <w:r w:rsidR="002F55F3" w:rsidRPr="003F1238">
                              <w:rPr>
                                <w:rFonts w:cs="Arial"/>
                                <w:b/>
                                <w:color w:val="002060"/>
                                <w:sz w:val="36"/>
                                <w:szCs w:val="48"/>
                              </w:rPr>
                              <w:t xml:space="preserve">Madde </w:t>
                            </w:r>
                            <w:r w:rsidRPr="003F1238">
                              <w:rPr>
                                <w:rFonts w:cs="Arial"/>
                                <w:b/>
                                <w:color w:val="002060"/>
                                <w:sz w:val="36"/>
                                <w:szCs w:val="48"/>
                              </w:rPr>
                              <w:t>120 kapsamında geçiş hükümlerine ilişkin uygun gözetim hakkı</w:t>
                            </w:r>
                            <w:bookmarkStart w:id="0" w:name="_GoBack"/>
                            <w:bookmarkEnd w:id="0"/>
                            <w:r w:rsidRPr="003F1238">
                              <w:rPr>
                                <w:rFonts w:cs="Arial"/>
                                <w:b/>
                                <w:color w:val="002060"/>
                                <w:sz w:val="36"/>
                                <w:szCs w:val="48"/>
                              </w:rPr>
                              <w:t>nda rehber</w:t>
                            </w:r>
                          </w:p>
                          <w:p w14:paraId="34A69993" w14:textId="097E9772" w:rsidR="00CD1A99" w:rsidRPr="003F1238" w:rsidRDefault="00CD1A99" w:rsidP="00B1770C">
                            <w:pPr>
                              <w:spacing w:after="0" w:line="360" w:lineRule="auto"/>
                              <w:ind w:left="567"/>
                              <w:rPr>
                                <w:rFonts w:cs="Arial"/>
                                <w:b/>
                                <w:color w:val="002060"/>
                                <w:sz w:val="32"/>
                                <w:szCs w:val="32"/>
                              </w:rPr>
                            </w:pPr>
                          </w:p>
                          <w:p w14:paraId="5884B26D" w14:textId="77777777" w:rsidR="00CD1A99" w:rsidRPr="003F1238" w:rsidRDefault="00CD1A99" w:rsidP="00B1770C">
                            <w:pPr>
                              <w:spacing w:after="0" w:line="360" w:lineRule="auto"/>
                              <w:ind w:left="567"/>
                              <w:rPr>
                                <w:rFonts w:cs="Arial"/>
                                <w:b/>
                                <w:color w:val="002060"/>
                                <w:sz w:val="32"/>
                                <w:szCs w:val="32"/>
                              </w:rPr>
                            </w:pPr>
                          </w:p>
                          <w:p w14:paraId="0913883C" w14:textId="72AF80D5" w:rsidR="00CD1A99" w:rsidRPr="00556ED4" w:rsidRDefault="00C00031" w:rsidP="00B1770C">
                            <w:pPr>
                              <w:spacing w:after="0" w:line="360" w:lineRule="auto"/>
                              <w:ind w:left="567"/>
                              <w:rPr>
                                <w:rFonts w:cs="Arial"/>
                                <w:b/>
                                <w:color w:val="002060"/>
                                <w:sz w:val="32"/>
                                <w:szCs w:val="32"/>
                              </w:rPr>
                            </w:pPr>
                            <w:r w:rsidRPr="003F1238">
                              <w:rPr>
                                <w:rFonts w:cs="Arial"/>
                                <w:b/>
                                <w:color w:val="002060"/>
                                <w:sz w:val="32"/>
                                <w:szCs w:val="32"/>
                              </w:rPr>
                              <w:t>Revizyon 1 - Aralık</w:t>
                            </w:r>
                            <w:r w:rsidR="00CD1A99" w:rsidRPr="003F1238">
                              <w:rPr>
                                <w:rFonts w:cs="Arial"/>
                                <w:b/>
                                <w:color w:val="002060"/>
                                <w:sz w:val="32"/>
                                <w:szCs w:val="32"/>
                              </w:rPr>
                              <w:t xml:space="preserve"> 2022</w:t>
                            </w:r>
                          </w:p>
                          <w:p w14:paraId="08999B09" w14:textId="4A79BFD5" w:rsidR="00CD1A99" w:rsidRDefault="00CD1A99" w:rsidP="00A57F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F69D86" id="_x0000_t202" coordsize="21600,21600" o:spt="202" path="m,l,21600r21600,l21600,xe">
                <v:stroke joinstyle="miter"/>
                <v:path gradientshapeok="t" o:connecttype="rect"/>
              </v:shapetype>
              <v:shape id="Metin Kutusu 2" o:spid="_x0000_s1026" type="#_x0000_t202" style="position:absolute;left:0;text-align:left;margin-left:4.15pt;margin-top:26.5pt;width:450.75pt;height:286.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" filled="f" strokecolor="#1f3763 [1604]" strokeweight="1.5pt">
                <v:textbox>
                  <w:txbxContent>
                    <w:p w14:paraId="189E65EE" w14:textId="77777777" w:rsidR="00CD1A99" w:rsidRPr="00A57F8F" w:rsidRDefault="00CD1A99" w:rsidP="00556ED4">
                      <w:pPr>
                        <w:spacing w:after="0" w:line="240" w:lineRule="auto"/>
                        <w:ind w:left="567" w:right="605"/>
                        <w:rPr>
                          <w:rFonts w:cs="Arial"/>
                          <w:b/>
                          <w:color w:val="002060"/>
                          <w:sz w:val="48"/>
                          <w:szCs w:val="48"/>
                        </w:rPr>
                      </w:pPr>
                    </w:p>
                    <w:p w14:paraId="3360D401" w14:textId="0F0579A9" w:rsidR="00CD1A99" w:rsidRPr="003F1238" w:rsidRDefault="00CD1A99" w:rsidP="00556ED4">
                      <w:pPr>
                        <w:spacing w:after="0" w:line="240" w:lineRule="auto"/>
                        <w:ind w:left="567" w:right="605"/>
                        <w:rPr>
                          <w:rFonts w:cs="Arial"/>
                          <w:b/>
                          <w:color w:val="002060"/>
                          <w:sz w:val="48"/>
                          <w:szCs w:val="48"/>
                        </w:rPr>
                      </w:pPr>
                      <w:r w:rsidRPr="003F1238">
                        <w:rPr>
                          <w:rFonts w:cs="Arial"/>
                          <w:b/>
                          <w:color w:val="002060"/>
                          <w:sz w:val="48"/>
                          <w:szCs w:val="48"/>
                        </w:rPr>
                        <w:t>MDCG 2022-4</w:t>
                      </w:r>
                      <w:r w:rsidR="00C00031" w:rsidRPr="003F1238">
                        <w:rPr>
                          <w:rFonts w:cs="Arial"/>
                          <w:b/>
                          <w:color w:val="002060"/>
                          <w:sz w:val="48"/>
                          <w:szCs w:val="48"/>
                        </w:rPr>
                        <w:t xml:space="preserve"> Rev.1</w:t>
                      </w:r>
                    </w:p>
                    <w:p w14:paraId="49E20111" w14:textId="77777777" w:rsidR="00C077F7" w:rsidRPr="003F1238" w:rsidRDefault="00C077F7" w:rsidP="00556ED4">
                      <w:pPr>
                        <w:spacing w:after="0" w:line="240" w:lineRule="auto"/>
                        <w:ind w:left="567" w:right="605"/>
                        <w:rPr>
                          <w:rFonts w:cs="Arial"/>
                          <w:b/>
                          <w:color w:val="002060"/>
                          <w:sz w:val="48"/>
                          <w:szCs w:val="48"/>
                        </w:rPr>
                      </w:pPr>
                    </w:p>
                    <w:p w14:paraId="57FC674B" w14:textId="2ADCC648" w:rsidR="00CD1A99" w:rsidRPr="003F1238" w:rsidRDefault="00CD1A99" w:rsidP="007050A9">
                      <w:pPr>
                        <w:spacing w:after="0" w:line="240" w:lineRule="auto"/>
                        <w:ind w:left="567" w:right="321"/>
                        <w:rPr>
                          <w:rFonts w:cs="Arial"/>
                          <w:b/>
                          <w:color w:val="002060"/>
                          <w:sz w:val="36"/>
                          <w:szCs w:val="48"/>
                        </w:rPr>
                      </w:pPr>
                      <w:r w:rsidRPr="003F1238">
                        <w:rPr>
                          <w:rFonts w:cs="Arial"/>
                          <w:b/>
                          <w:color w:val="002060"/>
                          <w:sz w:val="36"/>
                          <w:szCs w:val="48"/>
                        </w:rPr>
                        <w:t xml:space="preserve">MDD veya </w:t>
                      </w:r>
                      <w:proofErr w:type="spellStart"/>
                      <w:r w:rsidRPr="003F1238">
                        <w:rPr>
                          <w:rFonts w:cs="Arial"/>
                          <w:b/>
                          <w:color w:val="002060"/>
                          <w:sz w:val="36"/>
                          <w:szCs w:val="48"/>
                        </w:rPr>
                        <w:t>AIMDD'ye</w:t>
                      </w:r>
                      <w:proofErr w:type="spellEnd"/>
                      <w:r w:rsidRPr="003F1238">
                        <w:rPr>
                          <w:rFonts w:cs="Arial"/>
                          <w:b/>
                          <w:color w:val="002060"/>
                          <w:sz w:val="36"/>
                          <w:szCs w:val="48"/>
                        </w:rPr>
                        <w:t xml:space="preserve"> göre </w:t>
                      </w:r>
                      <w:r w:rsidR="004004C5" w:rsidRPr="003F1238">
                        <w:rPr>
                          <w:rFonts w:cs="Arial"/>
                          <w:b/>
                          <w:color w:val="002060"/>
                          <w:sz w:val="36"/>
                          <w:szCs w:val="48"/>
                        </w:rPr>
                        <w:t>sertifikaların kapsadığı</w:t>
                      </w:r>
                      <w:r w:rsidRPr="003F1238">
                        <w:rPr>
                          <w:rFonts w:cs="Arial"/>
                          <w:b/>
                          <w:color w:val="002060"/>
                          <w:sz w:val="36"/>
                          <w:szCs w:val="48"/>
                        </w:rPr>
                        <w:t xml:space="preserve"> cihazlarla ilgili olarak MDR </w:t>
                      </w:r>
                      <w:r w:rsidR="002F55F3" w:rsidRPr="003F1238">
                        <w:rPr>
                          <w:rFonts w:cs="Arial"/>
                          <w:b/>
                          <w:color w:val="002060"/>
                          <w:sz w:val="36"/>
                          <w:szCs w:val="48"/>
                        </w:rPr>
                        <w:t xml:space="preserve">Madde </w:t>
                      </w:r>
                      <w:r w:rsidRPr="003F1238">
                        <w:rPr>
                          <w:rFonts w:cs="Arial"/>
                          <w:b/>
                          <w:color w:val="002060"/>
                          <w:sz w:val="36"/>
                          <w:szCs w:val="48"/>
                        </w:rPr>
                        <w:t>120 kapsamında geçiş hükümlerine ilişkin uygun gözetim hakkında rehber</w:t>
                      </w:r>
                    </w:p>
                    <w:p w14:paraId="34A69993" w14:textId="097E9772" w:rsidR="00CD1A99" w:rsidRPr="003F1238" w:rsidRDefault="00CD1A99" w:rsidP="00B1770C">
                      <w:pPr>
                        <w:spacing w:after="0" w:line="360" w:lineRule="auto"/>
                        <w:ind w:left="567"/>
                        <w:rPr>
                          <w:rFonts w:cs="Arial"/>
                          <w:b/>
                          <w:color w:val="002060"/>
                          <w:sz w:val="32"/>
                          <w:szCs w:val="32"/>
                        </w:rPr>
                      </w:pPr>
                    </w:p>
                    <w:p w14:paraId="5884B26D" w14:textId="77777777" w:rsidR="00CD1A99" w:rsidRPr="003F1238" w:rsidRDefault="00CD1A99" w:rsidP="00B1770C">
                      <w:pPr>
                        <w:spacing w:after="0" w:line="360" w:lineRule="auto"/>
                        <w:ind w:left="567"/>
                        <w:rPr>
                          <w:rFonts w:cs="Arial"/>
                          <w:b/>
                          <w:color w:val="002060"/>
                          <w:sz w:val="32"/>
                          <w:szCs w:val="32"/>
                        </w:rPr>
                      </w:pPr>
                    </w:p>
                    <w:p w14:paraId="0913883C" w14:textId="72AF80D5" w:rsidR="00CD1A99" w:rsidRPr="00556ED4" w:rsidRDefault="00C00031" w:rsidP="00B1770C">
                      <w:pPr>
                        <w:spacing w:after="0" w:line="360" w:lineRule="auto"/>
                        <w:ind w:left="567"/>
                        <w:rPr>
                          <w:rFonts w:cs="Arial"/>
                          <w:b/>
                          <w:color w:val="002060"/>
                          <w:sz w:val="32"/>
                          <w:szCs w:val="32"/>
                        </w:rPr>
                      </w:pPr>
                      <w:r w:rsidRPr="003F1238">
                        <w:rPr>
                          <w:rFonts w:cs="Arial"/>
                          <w:b/>
                          <w:color w:val="002060"/>
                          <w:sz w:val="32"/>
                          <w:szCs w:val="32"/>
                        </w:rPr>
                        <w:t>Revizyon 1 - Aralık</w:t>
                      </w:r>
                      <w:r w:rsidR="00CD1A99" w:rsidRPr="003F1238">
                        <w:rPr>
                          <w:rFonts w:cs="Arial"/>
                          <w:b/>
                          <w:color w:val="002060"/>
                          <w:sz w:val="32"/>
                          <w:szCs w:val="32"/>
                        </w:rPr>
                        <w:t xml:space="preserve"> 2022</w:t>
                      </w:r>
                    </w:p>
                    <w:p w14:paraId="08999B09" w14:textId="4A79BFD5" w:rsidR="00CD1A99" w:rsidRDefault="00CD1A99" w:rsidP="00A57F8F"/>
                  </w:txbxContent>
                </v:textbox>
                <w10:wrap type="square"/>
              </v:shape>
            </w:pict>
          </mc:Fallback>
        </mc:AlternateContent>
      </w:r>
    </w:p>
    <w:p w14:paraId="335BD4A9" w14:textId="588F1C13" w:rsidR="004C4976" w:rsidRDefault="004C4976" w:rsidP="00CF2357">
      <w:pPr>
        <w:rPr>
          <w:lang w:eastAsia="tr-TR"/>
        </w:rPr>
      </w:pPr>
    </w:p>
    <w:p w14:paraId="0534DB4C" w14:textId="441A16D8" w:rsidR="004C4976" w:rsidRDefault="004C4976" w:rsidP="00CF2357">
      <w:pPr>
        <w:rPr>
          <w:lang w:eastAsia="tr-TR"/>
        </w:rPr>
      </w:pPr>
    </w:p>
    <w:p w14:paraId="37EB3389" w14:textId="77777777" w:rsidR="004C4976" w:rsidRPr="00A57F8F" w:rsidRDefault="004C4976" w:rsidP="00CF2357">
      <w:pPr>
        <w:rPr>
          <w:lang w:eastAsia="tr-TR"/>
        </w:rPr>
      </w:pPr>
    </w:p>
    <w:p w14:paraId="7F70C114" w14:textId="77777777" w:rsidR="00A57F8F" w:rsidRPr="00A57F8F" w:rsidRDefault="00A57F8F" w:rsidP="00CF2357">
      <w:pPr>
        <w:rPr>
          <w:lang w:eastAsia="tr-TR"/>
        </w:rPr>
      </w:pPr>
      <w:r w:rsidRPr="00A57F8F">
        <w:rPr>
          <w:lang w:eastAsia="tr-TR"/>
        </w:rPr>
        <w:t>Bu doküman, (AB) 2017/745 sayılı Tüzük’ün 103. maddesi ile kurulan Tıbbi Cihaz Koordinasyon Grubu (MDCG) tarafından onaylanmıştır. MDCG, tüm üye devletlerin temsilcilerinden oluşur ve MDCG’ye bir Avrupa Komisyonu temsilcisi başkanlık eder.</w:t>
      </w:r>
    </w:p>
    <w:p w14:paraId="23AC21B7" w14:textId="77777777" w:rsidR="00A57F8F" w:rsidRPr="00A57F8F" w:rsidRDefault="00A57F8F" w:rsidP="00CF2357">
      <w:pPr>
        <w:rPr>
          <w:lang w:eastAsia="tr-TR"/>
        </w:rPr>
      </w:pPr>
      <w:r w:rsidRPr="00A57F8F">
        <w:rPr>
          <w:lang w:eastAsia="tr-TR"/>
        </w:rPr>
        <w:t>Bu doküman bir Avrupa Komisyonu dokümanı değildir ve Avrupa Komisyonu'nun resmi görüşünü yansıtan bir doküman olarak kabul edilemez. Bu dokümanda ifade edilen herhangi bir görüş yasal olarak bağlayıcı değildir ve yalnızca Avrupa Birliği Adalet Divanı, Birlik hukukuna bağlayıcı yorumlar getirebilir.</w:t>
      </w:r>
    </w:p>
    <w:p w14:paraId="6AADA96A" w14:textId="67D99352" w:rsidR="004C4976" w:rsidRDefault="004C4976">
      <w:pPr>
        <w:spacing w:after="160"/>
        <w:jc w:val="left"/>
      </w:pPr>
      <w:r>
        <w:br w:type="page"/>
      </w:r>
    </w:p>
    <w:p w14:paraId="7A11DBCA" w14:textId="13679702" w:rsidR="00C00031" w:rsidRDefault="00C00031" w:rsidP="00C00031">
      <w:r>
        <w:lastRenderedPageBreak/>
        <w:t xml:space="preserve">Revizyon tablosu </w:t>
      </w:r>
    </w:p>
    <w:p w14:paraId="0818E698" w14:textId="77777777" w:rsidR="00C00031" w:rsidRDefault="00C00031" w:rsidP="00C00031"/>
    <w:tbl>
      <w:tblPr>
        <w:tblStyle w:val="TabloKlavuzu"/>
        <w:tblW w:w="0" w:type="auto"/>
        <w:tblLook w:val="04A0" w:firstRow="1" w:lastRow="0" w:firstColumn="1" w:lastColumn="0" w:noHBand="0" w:noVBand="1"/>
      </w:tblPr>
      <w:tblGrid>
        <w:gridCol w:w="9062"/>
      </w:tblGrid>
      <w:tr w:rsidR="00C00031" w14:paraId="6A2CB429" w14:textId="77777777" w:rsidTr="00C00031">
        <w:tc>
          <w:tcPr>
            <w:tcW w:w="9062" w:type="dxa"/>
          </w:tcPr>
          <w:p w14:paraId="6615B77A" w14:textId="3E80D0F5" w:rsidR="00C00031" w:rsidRDefault="00C00031" w:rsidP="00C00031">
            <w:pPr>
              <w:spacing w:before="60" w:after="60"/>
            </w:pPr>
            <w:r>
              <w:t>MDCG 2022 – 4 revizyon 1 değişiklikleri</w:t>
            </w:r>
          </w:p>
        </w:tc>
      </w:tr>
      <w:tr w:rsidR="00C00031" w14:paraId="6FEB337F" w14:textId="77777777" w:rsidTr="00C00031">
        <w:tc>
          <w:tcPr>
            <w:tcW w:w="9062" w:type="dxa"/>
          </w:tcPr>
          <w:p w14:paraId="500877DD" w14:textId="5CC6271A" w:rsidR="00C00031" w:rsidRDefault="00C00031" w:rsidP="00C00031">
            <w:pPr>
              <w:spacing w:before="60" w:after="60"/>
            </w:pPr>
            <w:r w:rsidRPr="00C00031">
              <w:t>MDCG 2022-15 ile uyumlu hale getirmek ve MDCG 2022-14'ün 3 numaralı eyleminde ifade edildiği üzere MDCG'nin görüşlerini yansıtmak için belgenin her yerinde düzeltmeler</w:t>
            </w:r>
            <w:r>
              <w:t xml:space="preserve"> </w:t>
            </w:r>
          </w:p>
        </w:tc>
      </w:tr>
    </w:tbl>
    <w:p w14:paraId="5F7F6D09" w14:textId="61055441" w:rsidR="00C00031" w:rsidRDefault="00C00031" w:rsidP="00C00031"/>
    <w:p w14:paraId="247E3382" w14:textId="77777777" w:rsidR="00C00031" w:rsidRDefault="00C00031" w:rsidP="00C00031"/>
    <w:p w14:paraId="26571246" w14:textId="3D297247" w:rsidR="002371CA" w:rsidRDefault="002371CA" w:rsidP="00A57F8F">
      <w:pPr>
        <w:pStyle w:val="Balk1"/>
        <w:rPr>
          <w:rFonts w:cs="Times New Roman"/>
          <w:bCs/>
        </w:rPr>
      </w:pPr>
      <w:r>
        <w:rPr>
          <w:rFonts w:cs="Times New Roman"/>
          <w:bCs/>
        </w:rPr>
        <w:t>Giriş</w:t>
      </w:r>
    </w:p>
    <w:p w14:paraId="70B73F50" w14:textId="2C4F08C6" w:rsidR="002371CA" w:rsidRPr="00A57F8F" w:rsidRDefault="002371CA" w:rsidP="00CF2357">
      <w:pPr>
        <w:rPr>
          <w:rFonts w:cs="Arial"/>
          <w:szCs w:val="24"/>
        </w:rPr>
      </w:pPr>
      <w:r w:rsidRPr="00A57F8F">
        <w:rPr>
          <w:rFonts w:cs="Arial"/>
          <w:szCs w:val="24"/>
        </w:rPr>
        <w:t xml:space="preserve">(AB) 2017/745 </w:t>
      </w:r>
      <w:r w:rsidR="00A57F8F">
        <w:rPr>
          <w:rFonts w:cs="Arial"/>
          <w:szCs w:val="24"/>
        </w:rPr>
        <w:t xml:space="preserve">sayılı </w:t>
      </w:r>
      <w:r w:rsidR="00A57F8F" w:rsidRPr="00A57F8F">
        <w:rPr>
          <w:rFonts w:cs="Arial"/>
          <w:szCs w:val="24"/>
        </w:rPr>
        <w:t>Tıbbi Cihaz Tüzüğü</w:t>
      </w:r>
      <w:r w:rsidR="00A57F8F">
        <w:rPr>
          <w:rFonts w:cs="Arial"/>
          <w:szCs w:val="24"/>
        </w:rPr>
        <w:t>nün</w:t>
      </w:r>
      <w:r w:rsidRPr="00A57F8F">
        <w:rPr>
          <w:rFonts w:cs="Arial"/>
          <w:szCs w:val="24"/>
        </w:rPr>
        <w:t xml:space="preserve"> </w:t>
      </w:r>
      <w:r w:rsidR="00A57F8F" w:rsidRPr="00A57F8F">
        <w:rPr>
          <w:rFonts w:cs="Arial"/>
          <w:szCs w:val="24"/>
        </w:rPr>
        <w:t>(MDR)</w:t>
      </w:r>
      <w:r w:rsidR="00A57F8F">
        <w:rPr>
          <w:rFonts w:cs="Arial"/>
          <w:szCs w:val="24"/>
        </w:rPr>
        <w:t xml:space="preserve"> </w:t>
      </w:r>
      <w:r w:rsidRPr="00A57F8F">
        <w:rPr>
          <w:rFonts w:cs="Arial"/>
          <w:szCs w:val="24"/>
        </w:rPr>
        <w:t>Madde 120(2) ve 120(3)</w:t>
      </w:r>
      <w:r w:rsidR="005A520B">
        <w:rPr>
          <w:rFonts w:cs="Arial"/>
          <w:szCs w:val="24"/>
        </w:rPr>
        <w:t>‘ü</w:t>
      </w:r>
      <w:r w:rsidRPr="00A57F8F">
        <w:rPr>
          <w:rFonts w:cs="Arial"/>
          <w:szCs w:val="24"/>
        </w:rPr>
        <w:t xml:space="preserve">; </w:t>
      </w:r>
      <w:r w:rsidR="005A520B">
        <w:rPr>
          <w:rFonts w:cs="Arial"/>
          <w:szCs w:val="24"/>
        </w:rPr>
        <w:t>90/385/AET</w:t>
      </w:r>
      <w:r w:rsidR="005A520B" w:rsidRPr="00A57F8F">
        <w:rPr>
          <w:rFonts w:cs="Arial"/>
          <w:szCs w:val="24"/>
        </w:rPr>
        <w:t xml:space="preserve"> </w:t>
      </w:r>
      <w:r w:rsidR="005A520B">
        <w:rPr>
          <w:rFonts w:cs="Arial"/>
          <w:szCs w:val="24"/>
        </w:rPr>
        <w:t xml:space="preserve">sayılı </w:t>
      </w:r>
      <w:r w:rsidR="005A520B" w:rsidRPr="005A520B">
        <w:rPr>
          <w:rFonts w:cs="Arial"/>
          <w:szCs w:val="24"/>
        </w:rPr>
        <w:t xml:space="preserve">Vücuda Yerleştirilebilir Aktif Tıbbi Cihazlar </w:t>
      </w:r>
      <w:r w:rsidR="005A520B">
        <w:rPr>
          <w:rFonts w:cs="Arial"/>
          <w:szCs w:val="24"/>
        </w:rPr>
        <w:t xml:space="preserve">Direktifi </w:t>
      </w:r>
      <w:r w:rsidRPr="00A57F8F">
        <w:rPr>
          <w:rFonts w:cs="Arial"/>
          <w:szCs w:val="24"/>
        </w:rPr>
        <w:t xml:space="preserve">(AIMDD) </w:t>
      </w:r>
      <w:r w:rsidR="00CC3635" w:rsidRPr="005A520B">
        <w:rPr>
          <w:rFonts w:cs="Arial"/>
          <w:szCs w:val="24"/>
        </w:rPr>
        <w:t>veya</w:t>
      </w:r>
      <w:r w:rsidR="00CC3635">
        <w:rPr>
          <w:rFonts w:cs="Arial"/>
          <w:szCs w:val="24"/>
        </w:rPr>
        <w:t xml:space="preserve"> 93/42/AET</w:t>
      </w:r>
      <w:r w:rsidR="00CC3635" w:rsidRPr="00A57F8F">
        <w:rPr>
          <w:rFonts w:cs="Arial"/>
          <w:szCs w:val="24"/>
        </w:rPr>
        <w:t xml:space="preserve"> </w:t>
      </w:r>
      <w:r w:rsidR="00CC3635">
        <w:rPr>
          <w:rFonts w:cs="Arial"/>
          <w:szCs w:val="24"/>
        </w:rPr>
        <w:t xml:space="preserve">sayılı </w:t>
      </w:r>
      <w:r w:rsidR="00CC3635" w:rsidRPr="005A520B">
        <w:rPr>
          <w:rFonts w:cs="Arial"/>
          <w:szCs w:val="24"/>
        </w:rPr>
        <w:t xml:space="preserve">Tıbbi Cihaz </w:t>
      </w:r>
      <w:r w:rsidR="00CC3635">
        <w:rPr>
          <w:rFonts w:cs="Arial"/>
          <w:szCs w:val="24"/>
        </w:rPr>
        <w:t>Direktifi</w:t>
      </w:r>
      <w:r w:rsidR="00CC3635" w:rsidRPr="005A520B">
        <w:rPr>
          <w:rFonts w:cs="Arial"/>
          <w:szCs w:val="24"/>
        </w:rPr>
        <w:t xml:space="preserve"> </w:t>
      </w:r>
      <w:r w:rsidR="00CC3635" w:rsidRPr="00A57F8F">
        <w:rPr>
          <w:rFonts w:cs="Arial"/>
          <w:szCs w:val="24"/>
        </w:rPr>
        <w:t xml:space="preserve">(MDD) </w:t>
      </w:r>
      <w:r w:rsidRPr="00A57F8F">
        <w:rPr>
          <w:rFonts w:cs="Arial"/>
          <w:szCs w:val="24"/>
        </w:rPr>
        <w:t xml:space="preserve">kapsamında bir onaylanmış kuruluş tarafından </w:t>
      </w:r>
      <w:r w:rsidR="005A520B">
        <w:rPr>
          <w:rFonts w:cs="Arial"/>
          <w:szCs w:val="24"/>
        </w:rPr>
        <w:t>düzenlenen</w:t>
      </w:r>
      <w:r w:rsidR="005A520B" w:rsidRPr="00A57F8F">
        <w:rPr>
          <w:rFonts w:cs="Arial"/>
          <w:szCs w:val="24"/>
        </w:rPr>
        <w:t xml:space="preserve"> </w:t>
      </w:r>
      <w:r w:rsidRPr="00A57F8F">
        <w:rPr>
          <w:rFonts w:cs="Arial"/>
          <w:szCs w:val="24"/>
        </w:rPr>
        <w:t>geçerli sertifikaların kapsamın</w:t>
      </w:r>
      <w:r w:rsidR="00CF4EDB">
        <w:rPr>
          <w:rFonts w:cs="Arial"/>
          <w:szCs w:val="24"/>
        </w:rPr>
        <w:t>d</w:t>
      </w:r>
      <w:r w:rsidRPr="00A57F8F">
        <w:rPr>
          <w:rFonts w:cs="Arial"/>
          <w:szCs w:val="24"/>
        </w:rPr>
        <w:t>a</w:t>
      </w:r>
      <w:r w:rsidR="00CF4EDB">
        <w:rPr>
          <w:rFonts w:cs="Arial"/>
          <w:szCs w:val="24"/>
        </w:rPr>
        <w:t>ki</w:t>
      </w:r>
      <w:r w:rsidRPr="00A57F8F">
        <w:rPr>
          <w:rFonts w:cs="Arial"/>
          <w:szCs w:val="24"/>
        </w:rPr>
        <w:t xml:space="preserve"> cihazlar</w:t>
      </w:r>
      <w:r w:rsidR="005A520B">
        <w:rPr>
          <w:rFonts w:cs="Arial"/>
          <w:szCs w:val="24"/>
        </w:rPr>
        <w:t>ın</w:t>
      </w:r>
      <w:r w:rsidRPr="00A57F8F">
        <w:rPr>
          <w:rFonts w:cs="Arial"/>
          <w:szCs w:val="24"/>
        </w:rPr>
        <w:t xml:space="preserve"> MDR'nin </w:t>
      </w:r>
      <w:r w:rsidR="005A520B">
        <w:rPr>
          <w:rFonts w:cs="Arial"/>
          <w:szCs w:val="24"/>
        </w:rPr>
        <w:t>yürürlük</w:t>
      </w:r>
      <w:r w:rsidR="005A520B" w:rsidRPr="00A57F8F">
        <w:rPr>
          <w:rFonts w:cs="Arial"/>
          <w:szCs w:val="24"/>
        </w:rPr>
        <w:t xml:space="preserve"> </w:t>
      </w:r>
      <w:r w:rsidRPr="00A57F8F">
        <w:rPr>
          <w:rFonts w:cs="Arial"/>
          <w:szCs w:val="24"/>
        </w:rPr>
        <w:t xml:space="preserve">tarihinden </w:t>
      </w:r>
      <w:r w:rsidR="005A520B">
        <w:rPr>
          <w:rFonts w:cs="Arial"/>
          <w:szCs w:val="24"/>
        </w:rPr>
        <w:t>itibaren</w:t>
      </w:r>
      <w:r w:rsidR="005A520B" w:rsidRPr="00A57F8F">
        <w:rPr>
          <w:rFonts w:cs="Arial"/>
          <w:szCs w:val="24"/>
        </w:rPr>
        <w:t xml:space="preserve"> </w:t>
      </w:r>
      <w:r w:rsidRPr="00A57F8F">
        <w:rPr>
          <w:rFonts w:cs="Arial"/>
          <w:szCs w:val="24"/>
        </w:rPr>
        <w:t xml:space="preserve">ve </w:t>
      </w:r>
      <w:r w:rsidR="00B761A2" w:rsidRPr="00A57F8F">
        <w:rPr>
          <w:rFonts w:cs="Arial"/>
          <w:szCs w:val="24"/>
        </w:rPr>
        <w:t xml:space="preserve">belirli koşullar altında </w:t>
      </w:r>
      <w:r w:rsidRPr="00A57F8F">
        <w:rPr>
          <w:rFonts w:cs="Arial"/>
          <w:szCs w:val="24"/>
        </w:rPr>
        <w:t xml:space="preserve">26 Mayıs 2024'ten geç olmamak üzere </w:t>
      </w:r>
      <w:r w:rsidR="005A520B">
        <w:rPr>
          <w:rFonts w:cs="Arial"/>
          <w:szCs w:val="24"/>
        </w:rPr>
        <w:t>piyasaya arz edilebileceğini</w:t>
      </w:r>
      <w:r w:rsidR="005A520B" w:rsidRPr="005A520B">
        <w:rPr>
          <w:rFonts w:cs="Arial"/>
          <w:szCs w:val="24"/>
        </w:rPr>
        <w:t xml:space="preserve"> </w:t>
      </w:r>
      <w:r w:rsidRPr="00A57F8F">
        <w:rPr>
          <w:rStyle w:val="DipnotBavurusu"/>
          <w:rFonts w:cs="Arial"/>
          <w:szCs w:val="24"/>
        </w:rPr>
        <w:footnoteReference w:id="1"/>
      </w:r>
      <w:r w:rsidRPr="00A57F8F">
        <w:rPr>
          <w:rFonts w:cs="Arial"/>
          <w:szCs w:val="24"/>
        </w:rPr>
        <w:t xml:space="preserve"> </w:t>
      </w:r>
      <w:r w:rsidR="005A520B" w:rsidRPr="005A520B">
        <w:rPr>
          <w:rFonts w:cs="Arial"/>
          <w:szCs w:val="24"/>
        </w:rPr>
        <w:t>ya da</w:t>
      </w:r>
      <w:r w:rsidR="005A520B">
        <w:rPr>
          <w:rFonts w:cs="Arial"/>
          <w:szCs w:val="24"/>
        </w:rPr>
        <w:t xml:space="preserve"> hizmete sunulabileceğini</w:t>
      </w:r>
      <w:r w:rsidR="005A520B" w:rsidRPr="005A520B" w:rsidDel="005A520B">
        <w:rPr>
          <w:rFonts w:cs="Arial"/>
          <w:szCs w:val="24"/>
        </w:rPr>
        <w:t xml:space="preserve"> </w:t>
      </w:r>
      <w:r w:rsidRPr="00A57F8F">
        <w:rPr>
          <w:rStyle w:val="DipnotBavurusu"/>
          <w:rFonts w:cs="Arial"/>
          <w:szCs w:val="24"/>
        </w:rPr>
        <w:footnoteReference w:id="2"/>
      </w:r>
      <w:r w:rsidRPr="00A57F8F">
        <w:rPr>
          <w:rFonts w:cs="Arial"/>
          <w:szCs w:val="24"/>
        </w:rPr>
        <w:t xml:space="preserve"> </w:t>
      </w:r>
      <w:r w:rsidR="005A520B">
        <w:rPr>
          <w:rFonts w:cs="Arial"/>
          <w:szCs w:val="24"/>
        </w:rPr>
        <w:t>ifade etmektedir.</w:t>
      </w:r>
    </w:p>
    <w:p w14:paraId="484B4E08" w14:textId="575C8BAE" w:rsidR="002371CA" w:rsidRPr="00A57F8F" w:rsidRDefault="000B5E6B" w:rsidP="00CF2357">
      <w:pPr>
        <w:rPr>
          <w:rFonts w:cs="Arial"/>
          <w:szCs w:val="24"/>
        </w:rPr>
      </w:pPr>
      <w:r w:rsidRPr="00A57F8F">
        <w:rPr>
          <w:rFonts w:cs="Arial"/>
          <w:szCs w:val="24"/>
        </w:rPr>
        <w:t>Yukarıda belirtilen koşullar; MDD veya AIMDD kapsamında sertifika düzenleyen onaylanmış kuruluş</w:t>
      </w:r>
      <w:r w:rsidR="000D6542">
        <w:rPr>
          <w:rFonts w:cs="Arial"/>
          <w:szCs w:val="24"/>
        </w:rPr>
        <w:t>un</w:t>
      </w:r>
      <w:r w:rsidRPr="00A57F8F">
        <w:rPr>
          <w:rFonts w:cs="Arial"/>
          <w:szCs w:val="24"/>
        </w:rPr>
        <w:t xml:space="preserve">, </w:t>
      </w:r>
      <w:r w:rsidR="00D5629E">
        <w:rPr>
          <w:rFonts w:cs="Arial"/>
          <w:szCs w:val="24"/>
        </w:rPr>
        <w:t>belgelendirdiği</w:t>
      </w:r>
      <w:r w:rsidR="00D5629E" w:rsidRPr="00A57F8F">
        <w:rPr>
          <w:rFonts w:cs="Arial"/>
          <w:szCs w:val="24"/>
        </w:rPr>
        <w:t xml:space="preserve"> </w:t>
      </w:r>
      <w:r w:rsidRPr="00A57F8F">
        <w:rPr>
          <w:rFonts w:cs="Arial"/>
          <w:szCs w:val="24"/>
        </w:rPr>
        <w:t xml:space="preserve">cihazlarla ilgili </w:t>
      </w:r>
      <w:r w:rsidR="005E32DE">
        <w:rPr>
          <w:rFonts w:cs="Arial"/>
          <w:szCs w:val="24"/>
        </w:rPr>
        <w:t>uygulanabilir</w:t>
      </w:r>
      <w:r w:rsidR="005E32DE" w:rsidRPr="00A57F8F">
        <w:rPr>
          <w:rFonts w:cs="Arial"/>
          <w:szCs w:val="24"/>
        </w:rPr>
        <w:t xml:space="preserve"> </w:t>
      </w:r>
      <w:r w:rsidRPr="00A57F8F">
        <w:rPr>
          <w:rFonts w:cs="Arial"/>
          <w:szCs w:val="24"/>
        </w:rPr>
        <w:t>tüm gereklilikler</w:t>
      </w:r>
      <w:r w:rsidR="001C6AF0">
        <w:rPr>
          <w:rFonts w:cs="Arial"/>
          <w:szCs w:val="24"/>
        </w:rPr>
        <w:t>e</w:t>
      </w:r>
      <w:r w:rsidRPr="00A57F8F">
        <w:rPr>
          <w:rFonts w:cs="Arial"/>
          <w:szCs w:val="24"/>
        </w:rPr>
        <w:t xml:space="preserve"> </w:t>
      </w:r>
      <w:r w:rsidR="001C6AF0">
        <w:rPr>
          <w:rFonts w:cs="Arial"/>
          <w:szCs w:val="24"/>
        </w:rPr>
        <w:t>ilişkin</w:t>
      </w:r>
      <w:r w:rsidR="001C6AF0" w:rsidRPr="00A57F8F">
        <w:rPr>
          <w:rFonts w:cs="Arial"/>
          <w:szCs w:val="24"/>
        </w:rPr>
        <w:t xml:space="preserve"> </w:t>
      </w:r>
      <w:r w:rsidRPr="00A57F8F">
        <w:rPr>
          <w:rFonts w:cs="Arial"/>
          <w:szCs w:val="24"/>
        </w:rPr>
        <w:t xml:space="preserve">uygun gözetimi </w:t>
      </w:r>
      <w:r w:rsidR="00D5629E">
        <w:rPr>
          <w:rFonts w:cs="Arial"/>
          <w:szCs w:val="24"/>
        </w:rPr>
        <w:t>gerçekleştirmeye devam etme</w:t>
      </w:r>
      <w:r w:rsidR="001C6AF0">
        <w:rPr>
          <w:rFonts w:cs="Arial"/>
          <w:szCs w:val="24"/>
        </w:rPr>
        <w:t>s</w:t>
      </w:r>
      <w:r w:rsidR="00D5629E">
        <w:rPr>
          <w:rFonts w:cs="Arial"/>
          <w:szCs w:val="24"/>
        </w:rPr>
        <w:t>i</w:t>
      </w:r>
      <w:r w:rsidR="001C6AF0">
        <w:rPr>
          <w:rFonts w:cs="Arial"/>
          <w:szCs w:val="24"/>
        </w:rPr>
        <w:t xml:space="preserve"> gerekmektedir</w:t>
      </w:r>
      <w:r w:rsidRPr="00A57F8F">
        <w:rPr>
          <w:rFonts w:cs="Arial"/>
          <w:szCs w:val="24"/>
        </w:rPr>
        <w:t xml:space="preserve">. Bu nedenle, MDR Madde 120(3)'te atıfta bulunulan uygun gözetimin bir parçası </w:t>
      </w:r>
      <w:r w:rsidR="00D5629E">
        <w:rPr>
          <w:rFonts w:cs="Arial"/>
          <w:szCs w:val="24"/>
        </w:rPr>
        <w:t xml:space="preserve">olacak </w:t>
      </w:r>
      <w:r w:rsidRPr="00A57F8F">
        <w:rPr>
          <w:rFonts w:cs="Arial"/>
          <w:szCs w:val="24"/>
        </w:rPr>
        <w:t>faaliyetlere</w:t>
      </w:r>
      <w:r w:rsidR="00D5629E">
        <w:rPr>
          <w:rFonts w:cs="Arial"/>
          <w:szCs w:val="24"/>
        </w:rPr>
        <w:t xml:space="preserve"> ilişkin</w:t>
      </w:r>
      <w:r w:rsidRPr="00A57F8F">
        <w:rPr>
          <w:rFonts w:cs="Arial"/>
          <w:szCs w:val="24"/>
        </w:rPr>
        <w:t xml:space="preserve"> açıklık getir</w:t>
      </w:r>
      <w:r w:rsidR="00D5629E">
        <w:rPr>
          <w:rFonts w:cs="Arial"/>
          <w:szCs w:val="24"/>
        </w:rPr>
        <w:t>il</w:t>
      </w:r>
      <w:r w:rsidRPr="00A57F8F">
        <w:rPr>
          <w:rFonts w:cs="Arial"/>
          <w:szCs w:val="24"/>
        </w:rPr>
        <w:t>mesi</w:t>
      </w:r>
      <w:r w:rsidR="00D5629E">
        <w:rPr>
          <w:rFonts w:cs="Arial"/>
          <w:szCs w:val="24"/>
        </w:rPr>
        <w:t>; imalatçılar</w:t>
      </w:r>
      <w:r w:rsidR="00D5629E" w:rsidRPr="00A57F8F">
        <w:rPr>
          <w:rFonts w:cs="Arial"/>
          <w:szCs w:val="24"/>
        </w:rPr>
        <w:t>,</w:t>
      </w:r>
      <w:r w:rsidR="00D5629E">
        <w:rPr>
          <w:rFonts w:cs="Arial"/>
          <w:szCs w:val="24"/>
        </w:rPr>
        <w:t xml:space="preserve"> onaylanmış kuruluşlar </w:t>
      </w:r>
      <w:r w:rsidR="00D5629E" w:rsidRPr="00A57F8F">
        <w:rPr>
          <w:rFonts w:cs="Arial"/>
          <w:szCs w:val="24"/>
        </w:rPr>
        <w:t>ve ulusal oto</w:t>
      </w:r>
      <w:r w:rsidR="00D5629E">
        <w:rPr>
          <w:rFonts w:cs="Arial"/>
          <w:szCs w:val="24"/>
        </w:rPr>
        <w:t xml:space="preserve">riteler açısından </w:t>
      </w:r>
      <w:r w:rsidRPr="00A57F8F">
        <w:rPr>
          <w:rFonts w:cs="Arial"/>
          <w:szCs w:val="24"/>
        </w:rPr>
        <w:t>önem taşımaktadır.</w:t>
      </w:r>
    </w:p>
    <w:p w14:paraId="2DCB15CB" w14:textId="297C44CF" w:rsidR="000B5E6B" w:rsidRPr="00A57F8F" w:rsidRDefault="00D5629E" w:rsidP="00CF2357">
      <w:pPr>
        <w:rPr>
          <w:rFonts w:cs="Arial"/>
          <w:szCs w:val="24"/>
        </w:rPr>
      </w:pPr>
      <w:r w:rsidRPr="00A57F8F">
        <w:rPr>
          <w:rFonts w:cs="Arial"/>
          <w:szCs w:val="24"/>
        </w:rPr>
        <w:t xml:space="preserve">Geçiş hükümlerinin </w:t>
      </w:r>
      <w:r w:rsidR="000B5E6B" w:rsidRPr="00A57F8F">
        <w:rPr>
          <w:rFonts w:cs="Arial"/>
          <w:szCs w:val="24"/>
        </w:rPr>
        <w:t>MDD veya AIMDD</w:t>
      </w:r>
      <w:r>
        <w:rPr>
          <w:rFonts w:cs="Arial"/>
          <w:szCs w:val="24"/>
        </w:rPr>
        <w:t xml:space="preserve"> kapsamında belgelendirilen</w:t>
      </w:r>
      <w:r w:rsidRPr="00A57F8F">
        <w:rPr>
          <w:rFonts w:cs="Arial"/>
          <w:szCs w:val="24"/>
        </w:rPr>
        <w:t xml:space="preserve"> </w:t>
      </w:r>
      <w:r w:rsidR="000B5E6B" w:rsidRPr="00A57F8F">
        <w:rPr>
          <w:rFonts w:cs="Arial"/>
          <w:szCs w:val="24"/>
        </w:rPr>
        <w:t xml:space="preserve">cihazlara uygulanmasını uygun </w:t>
      </w:r>
      <w:r w:rsidR="00570016">
        <w:rPr>
          <w:rFonts w:cs="Arial"/>
          <w:szCs w:val="24"/>
        </w:rPr>
        <w:t xml:space="preserve">bir </w:t>
      </w:r>
      <w:r w:rsidR="000B5E6B" w:rsidRPr="00A57F8F">
        <w:rPr>
          <w:rFonts w:cs="Arial"/>
          <w:szCs w:val="24"/>
        </w:rPr>
        <w:t xml:space="preserve">şekilde ele almak </w:t>
      </w:r>
      <w:r w:rsidR="00090EEE">
        <w:rPr>
          <w:rFonts w:cs="Arial"/>
          <w:szCs w:val="24"/>
        </w:rPr>
        <w:t>amacıyla</w:t>
      </w:r>
      <w:r w:rsidR="000B5E6B" w:rsidRPr="00A57F8F">
        <w:rPr>
          <w:rFonts w:cs="Arial"/>
          <w:szCs w:val="24"/>
        </w:rPr>
        <w:t>, MDR gerek</w:t>
      </w:r>
      <w:r w:rsidR="00570016">
        <w:rPr>
          <w:rFonts w:cs="Arial"/>
          <w:szCs w:val="24"/>
        </w:rPr>
        <w:t>liliklerinin</w:t>
      </w:r>
      <w:r w:rsidR="000B5E6B" w:rsidRPr="00A57F8F">
        <w:rPr>
          <w:rFonts w:cs="Arial"/>
          <w:szCs w:val="24"/>
        </w:rPr>
        <w:t xml:space="preserve"> </w:t>
      </w:r>
      <w:r w:rsidR="00570016">
        <w:rPr>
          <w:rFonts w:cs="Arial"/>
          <w:szCs w:val="24"/>
        </w:rPr>
        <w:t>‘</w:t>
      </w:r>
      <w:r w:rsidR="000B5E6B" w:rsidRPr="00A57F8F">
        <w:rPr>
          <w:rFonts w:cs="Arial"/>
          <w:szCs w:val="24"/>
        </w:rPr>
        <w:t>kalıt cihazlara</w:t>
      </w:r>
      <w:r w:rsidR="00570016">
        <w:rPr>
          <w:rFonts w:cs="Arial"/>
          <w:szCs w:val="24"/>
        </w:rPr>
        <w:t>’</w:t>
      </w:r>
      <w:r w:rsidR="00570016" w:rsidRPr="00570016">
        <w:rPr>
          <w:rFonts w:cs="Arial"/>
          <w:szCs w:val="24"/>
        </w:rPr>
        <w:t xml:space="preserve"> </w:t>
      </w:r>
      <w:r w:rsidR="00570016" w:rsidRPr="00A57F8F">
        <w:rPr>
          <w:rFonts w:cs="Arial"/>
          <w:szCs w:val="24"/>
        </w:rPr>
        <w:t>uygulanmasına ilişkin</w:t>
      </w:r>
      <w:r w:rsidR="00570016">
        <w:rPr>
          <w:rFonts w:cs="Arial"/>
          <w:szCs w:val="24"/>
        </w:rPr>
        <w:t xml:space="preserve"> </w:t>
      </w:r>
      <w:r w:rsidR="00152541">
        <w:rPr>
          <w:rFonts w:cs="Arial"/>
          <w:szCs w:val="24"/>
        </w:rPr>
        <w:t>MDCG 2021-25</w:t>
      </w:r>
      <w:r w:rsidR="000B5E6B" w:rsidRPr="00A57F8F">
        <w:rPr>
          <w:rStyle w:val="DipnotBavurusu"/>
          <w:rFonts w:cs="Arial"/>
          <w:szCs w:val="24"/>
        </w:rPr>
        <w:footnoteReference w:id="3"/>
      </w:r>
      <w:r w:rsidR="000B5E6B" w:rsidRPr="00A57F8F">
        <w:rPr>
          <w:rFonts w:cs="Arial"/>
          <w:szCs w:val="24"/>
        </w:rPr>
        <w:t xml:space="preserve"> </w:t>
      </w:r>
      <w:r w:rsidR="00EB1B1F">
        <w:rPr>
          <w:rFonts w:cs="Arial"/>
          <w:szCs w:val="24"/>
        </w:rPr>
        <w:t>ve IVDR kapsamındaki uygun gözetim hakkında MDCG 2022-15</w:t>
      </w:r>
      <w:r w:rsidR="00EB1B1F">
        <w:rPr>
          <w:rStyle w:val="DipnotBavurusu"/>
          <w:rFonts w:cs="Arial"/>
          <w:szCs w:val="24"/>
        </w:rPr>
        <w:footnoteReference w:id="4"/>
      </w:r>
      <w:r w:rsidR="00EB1B1F">
        <w:rPr>
          <w:rFonts w:cs="Arial"/>
          <w:szCs w:val="24"/>
        </w:rPr>
        <w:t xml:space="preserve"> </w:t>
      </w:r>
      <w:r w:rsidR="000B5E6B" w:rsidRPr="00A57F8F">
        <w:rPr>
          <w:rFonts w:cs="Arial"/>
          <w:szCs w:val="24"/>
        </w:rPr>
        <w:t xml:space="preserve">doğrultusunda hazırlanan bu </w:t>
      </w:r>
      <w:r w:rsidR="00570016">
        <w:rPr>
          <w:rFonts w:cs="Arial"/>
          <w:szCs w:val="24"/>
        </w:rPr>
        <w:t>rehber</w:t>
      </w:r>
      <w:r w:rsidR="000B5E6B" w:rsidRPr="00A57F8F">
        <w:rPr>
          <w:rFonts w:cs="Arial"/>
          <w:szCs w:val="24"/>
        </w:rPr>
        <w:t>, önemli değişiklikler</w:t>
      </w:r>
      <w:r w:rsidR="00152541">
        <w:rPr>
          <w:rFonts w:cs="Arial"/>
          <w:szCs w:val="24"/>
        </w:rPr>
        <w:t>e</w:t>
      </w:r>
      <w:r w:rsidR="000B5E6B" w:rsidRPr="00A57F8F">
        <w:rPr>
          <w:rFonts w:cs="Arial"/>
          <w:szCs w:val="24"/>
        </w:rPr>
        <w:t xml:space="preserve"> </w:t>
      </w:r>
      <w:r w:rsidR="00152541">
        <w:rPr>
          <w:rFonts w:cs="Arial"/>
          <w:szCs w:val="24"/>
        </w:rPr>
        <w:t xml:space="preserve">dair </w:t>
      </w:r>
      <w:r w:rsidR="00152541" w:rsidRPr="00A57F8F">
        <w:rPr>
          <w:rFonts w:cs="Arial"/>
          <w:szCs w:val="24"/>
        </w:rPr>
        <w:t>MDCG</w:t>
      </w:r>
      <w:r w:rsidR="00152541">
        <w:rPr>
          <w:rFonts w:cs="Arial"/>
          <w:szCs w:val="24"/>
        </w:rPr>
        <w:t xml:space="preserve"> </w:t>
      </w:r>
      <w:r w:rsidR="00152541" w:rsidRPr="00A57F8F">
        <w:rPr>
          <w:rFonts w:cs="Arial"/>
          <w:szCs w:val="24"/>
        </w:rPr>
        <w:t>2020-3</w:t>
      </w:r>
      <w:r w:rsidR="00152541">
        <w:rPr>
          <w:rFonts w:cs="Arial"/>
          <w:szCs w:val="24"/>
        </w:rPr>
        <w:t xml:space="preserve"> </w:t>
      </w:r>
      <w:r w:rsidR="00570016">
        <w:rPr>
          <w:rFonts w:cs="Arial"/>
          <w:szCs w:val="24"/>
        </w:rPr>
        <w:t>rehber</w:t>
      </w:r>
      <w:r w:rsidR="00152541">
        <w:rPr>
          <w:rFonts w:cs="Arial"/>
          <w:szCs w:val="24"/>
        </w:rPr>
        <w:t>i</w:t>
      </w:r>
      <w:r w:rsidR="000B5E6B" w:rsidRPr="00A57F8F">
        <w:rPr>
          <w:rStyle w:val="DipnotBavurusu"/>
          <w:rFonts w:cs="Arial"/>
          <w:szCs w:val="24"/>
        </w:rPr>
        <w:footnoteReference w:id="5"/>
      </w:r>
      <w:r w:rsidR="00570016" w:rsidRPr="00570016">
        <w:rPr>
          <w:rFonts w:cs="Arial"/>
          <w:szCs w:val="24"/>
        </w:rPr>
        <w:t xml:space="preserve"> </w:t>
      </w:r>
      <w:r w:rsidR="00570016" w:rsidRPr="00A57F8F">
        <w:rPr>
          <w:rFonts w:cs="Arial"/>
          <w:szCs w:val="24"/>
        </w:rPr>
        <w:t>ile birlikte okunmalıdır</w:t>
      </w:r>
      <w:r w:rsidR="000B5E6B" w:rsidRPr="00A57F8F">
        <w:rPr>
          <w:rFonts w:cs="Arial"/>
          <w:szCs w:val="24"/>
        </w:rPr>
        <w:t>.</w:t>
      </w:r>
      <w:r w:rsidR="00516ADD">
        <w:rPr>
          <w:rFonts w:cs="Arial"/>
          <w:szCs w:val="24"/>
        </w:rPr>
        <w:t xml:space="preserve"> </w:t>
      </w:r>
      <w:r w:rsidR="00516ADD" w:rsidRPr="00516ADD">
        <w:rPr>
          <w:rFonts w:cs="Arial"/>
          <w:szCs w:val="24"/>
        </w:rPr>
        <w:t>Bu rehber dokümanın ilk revizyonu, MDCG 2022-14</w:t>
      </w:r>
      <w:r w:rsidR="00516ADD">
        <w:rPr>
          <w:rStyle w:val="DipnotBavurusu"/>
          <w:rFonts w:cs="Arial"/>
          <w:szCs w:val="24"/>
        </w:rPr>
        <w:footnoteReference w:id="6"/>
      </w:r>
      <w:r w:rsidR="00516ADD" w:rsidRPr="00516ADD">
        <w:rPr>
          <w:rFonts w:cs="Arial"/>
          <w:szCs w:val="24"/>
        </w:rPr>
        <w:t xml:space="preserve">, </w:t>
      </w:r>
      <w:r w:rsidR="00516ADD">
        <w:rPr>
          <w:rFonts w:cs="Arial"/>
          <w:szCs w:val="24"/>
        </w:rPr>
        <w:t>3 numaralı eylemde</w:t>
      </w:r>
      <w:r w:rsidR="00516ADD" w:rsidRPr="00516ADD">
        <w:rPr>
          <w:rFonts w:cs="Arial"/>
          <w:szCs w:val="24"/>
        </w:rPr>
        <w:t xml:space="preserve"> bildirilen MDCG </w:t>
      </w:r>
      <w:r w:rsidR="00516ADD">
        <w:rPr>
          <w:rFonts w:cs="Arial"/>
          <w:szCs w:val="24"/>
        </w:rPr>
        <w:t>görüşü</w:t>
      </w:r>
      <w:r w:rsidR="00516ADD" w:rsidRPr="00516ADD">
        <w:rPr>
          <w:rFonts w:cs="Arial"/>
          <w:szCs w:val="24"/>
        </w:rPr>
        <w:t xml:space="preserve"> ile uyumludur.</w:t>
      </w:r>
    </w:p>
    <w:p w14:paraId="562132B8" w14:textId="104388FA" w:rsidR="000B5E6B" w:rsidRPr="00A57F8F" w:rsidRDefault="005A34A7" w:rsidP="00CF2357">
      <w:pPr>
        <w:rPr>
          <w:rFonts w:cs="Arial"/>
          <w:szCs w:val="24"/>
        </w:rPr>
      </w:pPr>
      <w:r w:rsidRPr="006A1560">
        <w:rPr>
          <w:rFonts w:cs="Arial"/>
          <w:szCs w:val="24"/>
        </w:rPr>
        <w:t xml:space="preserve">Bu </w:t>
      </w:r>
      <w:r w:rsidR="00570016" w:rsidRPr="006A1560">
        <w:rPr>
          <w:rFonts w:cs="Arial"/>
          <w:szCs w:val="24"/>
        </w:rPr>
        <w:t xml:space="preserve">dokümanın </w:t>
      </w:r>
      <w:r w:rsidRPr="006A1560">
        <w:rPr>
          <w:rFonts w:cs="Arial"/>
          <w:szCs w:val="24"/>
        </w:rPr>
        <w:t xml:space="preserve">amaçları doğrultusunda </w:t>
      </w:r>
      <w:r w:rsidR="00570016" w:rsidRPr="006A1560">
        <w:rPr>
          <w:rFonts w:cs="Arial"/>
          <w:szCs w:val="24"/>
        </w:rPr>
        <w:t>‘</w:t>
      </w:r>
      <w:r w:rsidR="00881BAA" w:rsidRPr="006A1560">
        <w:rPr>
          <w:rFonts w:cs="Arial"/>
          <w:szCs w:val="24"/>
        </w:rPr>
        <w:t>kalıt</w:t>
      </w:r>
      <w:r w:rsidRPr="006A1560">
        <w:rPr>
          <w:rFonts w:cs="Arial"/>
          <w:szCs w:val="24"/>
        </w:rPr>
        <w:t xml:space="preserve"> cihazlar</w:t>
      </w:r>
      <w:r w:rsidR="00570016" w:rsidRPr="006A1560">
        <w:rPr>
          <w:rFonts w:cs="Arial"/>
          <w:szCs w:val="24"/>
        </w:rPr>
        <w:t>’</w:t>
      </w:r>
      <w:r w:rsidR="0064286C" w:rsidRPr="00A57F8F">
        <w:rPr>
          <w:rFonts w:cs="Arial"/>
          <w:szCs w:val="24"/>
        </w:rPr>
        <w:t>,</w:t>
      </w:r>
      <w:r w:rsidRPr="00A57F8F">
        <w:rPr>
          <w:rFonts w:cs="Arial"/>
          <w:szCs w:val="24"/>
        </w:rPr>
        <w:t xml:space="preserve"> </w:t>
      </w:r>
      <w:r w:rsidR="00747885">
        <w:rPr>
          <w:rFonts w:cs="Arial"/>
          <w:szCs w:val="24"/>
        </w:rPr>
        <w:t xml:space="preserve">, </w:t>
      </w:r>
      <w:r w:rsidRPr="00A57F8F">
        <w:rPr>
          <w:rFonts w:cs="Arial"/>
          <w:szCs w:val="24"/>
        </w:rPr>
        <w:t>MDR</w:t>
      </w:r>
      <w:r w:rsidR="00C9321A">
        <w:rPr>
          <w:rFonts w:cs="Arial"/>
          <w:szCs w:val="24"/>
        </w:rPr>
        <w:t xml:space="preserve"> Madde</w:t>
      </w:r>
      <w:r w:rsidRPr="00A57F8F">
        <w:rPr>
          <w:rFonts w:cs="Arial"/>
          <w:szCs w:val="24"/>
        </w:rPr>
        <w:t xml:space="preserve"> 120(3) uyarınca MDR'nin </w:t>
      </w:r>
      <w:r w:rsidR="00570016">
        <w:rPr>
          <w:rFonts w:cs="Arial"/>
          <w:szCs w:val="24"/>
        </w:rPr>
        <w:t>yürürlük</w:t>
      </w:r>
      <w:r w:rsidR="00570016" w:rsidRPr="00A57F8F">
        <w:rPr>
          <w:rFonts w:cs="Arial"/>
          <w:szCs w:val="24"/>
        </w:rPr>
        <w:t xml:space="preserve"> </w:t>
      </w:r>
      <w:r w:rsidRPr="00A57F8F">
        <w:rPr>
          <w:rFonts w:cs="Arial"/>
          <w:szCs w:val="24"/>
        </w:rPr>
        <w:t xml:space="preserve">tarihinden (26 Mayıs 2021) </w:t>
      </w:r>
      <w:r w:rsidR="00570016">
        <w:rPr>
          <w:rFonts w:cs="Arial"/>
          <w:szCs w:val="24"/>
        </w:rPr>
        <w:t>itibaren</w:t>
      </w:r>
      <w:r w:rsidR="00570016" w:rsidRPr="00A57F8F">
        <w:rPr>
          <w:rFonts w:cs="Arial"/>
          <w:szCs w:val="24"/>
        </w:rPr>
        <w:t xml:space="preserve"> </w:t>
      </w:r>
      <w:r w:rsidRPr="00A57F8F">
        <w:rPr>
          <w:rFonts w:cs="Arial"/>
          <w:szCs w:val="24"/>
        </w:rPr>
        <w:t>ve</w:t>
      </w:r>
      <w:r w:rsidR="00570016" w:rsidRPr="00A57F8F">
        <w:rPr>
          <w:rFonts w:cs="Arial"/>
          <w:szCs w:val="24"/>
        </w:rPr>
        <w:t xml:space="preserve"> </w:t>
      </w:r>
      <w:r w:rsidR="00C9321A" w:rsidRPr="00A57F8F">
        <w:rPr>
          <w:rFonts w:cs="Arial"/>
          <w:szCs w:val="24"/>
        </w:rPr>
        <w:t>b</w:t>
      </w:r>
      <w:r w:rsidR="00C9321A">
        <w:rPr>
          <w:rFonts w:cs="Arial"/>
          <w:szCs w:val="24"/>
        </w:rPr>
        <w:t>elli</w:t>
      </w:r>
      <w:r w:rsidR="00C9321A" w:rsidRPr="00A57F8F">
        <w:rPr>
          <w:rFonts w:cs="Arial"/>
          <w:szCs w:val="24"/>
        </w:rPr>
        <w:t xml:space="preserve"> şartların yerine getirilmesi </w:t>
      </w:r>
      <w:r w:rsidR="00C9321A">
        <w:rPr>
          <w:rFonts w:cs="Arial"/>
          <w:szCs w:val="24"/>
        </w:rPr>
        <w:t>şartıyla</w:t>
      </w:r>
      <w:r w:rsidR="00C9321A" w:rsidRPr="00A57F8F">
        <w:rPr>
          <w:rFonts w:cs="Arial"/>
          <w:szCs w:val="24"/>
        </w:rPr>
        <w:t xml:space="preserve"> </w:t>
      </w:r>
      <w:r w:rsidRPr="00A57F8F">
        <w:rPr>
          <w:rFonts w:cs="Arial"/>
          <w:szCs w:val="24"/>
        </w:rPr>
        <w:t>26</w:t>
      </w:r>
      <w:r w:rsidR="0064286C" w:rsidRPr="00A57F8F">
        <w:rPr>
          <w:rFonts w:cs="Arial"/>
          <w:szCs w:val="24"/>
        </w:rPr>
        <w:t xml:space="preserve"> Mayıs 2024’e kadar</w:t>
      </w:r>
      <w:r w:rsidR="0064286C" w:rsidRPr="00A57F8F">
        <w:rPr>
          <w:rStyle w:val="DipnotBavurusu"/>
          <w:rFonts w:cs="Arial"/>
          <w:szCs w:val="24"/>
        </w:rPr>
        <w:footnoteReference w:id="7"/>
      </w:r>
      <w:r w:rsidR="0064286C" w:rsidRPr="00A57F8F">
        <w:rPr>
          <w:rFonts w:cs="Arial"/>
          <w:szCs w:val="24"/>
        </w:rPr>
        <w:t xml:space="preserve"> </w:t>
      </w:r>
      <w:r w:rsidRPr="00A57F8F">
        <w:rPr>
          <w:rFonts w:cs="Arial"/>
          <w:szCs w:val="24"/>
        </w:rPr>
        <w:t xml:space="preserve">piyasaya arz edilen cihazlar olarak anlaşılmalıdır. </w:t>
      </w:r>
      <w:r w:rsidR="0064286C" w:rsidRPr="00A57F8F">
        <w:rPr>
          <w:rFonts w:cs="Arial"/>
          <w:szCs w:val="24"/>
        </w:rPr>
        <w:t xml:space="preserve">Bu </w:t>
      </w:r>
      <w:r w:rsidR="00570016">
        <w:rPr>
          <w:rFonts w:cs="Arial"/>
          <w:szCs w:val="24"/>
        </w:rPr>
        <w:t>rehberde</w:t>
      </w:r>
      <w:r w:rsidR="00570016" w:rsidRPr="00A57F8F">
        <w:rPr>
          <w:rFonts w:cs="Arial"/>
          <w:szCs w:val="24"/>
        </w:rPr>
        <w:t xml:space="preserve"> </w:t>
      </w:r>
      <w:r w:rsidR="0064286C" w:rsidRPr="00A57F8F">
        <w:rPr>
          <w:rFonts w:cs="Arial"/>
          <w:szCs w:val="24"/>
        </w:rPr>
        <w:t xml:space="preserve">yalnızca, </w:t>
      </w:r>
      <w:r w:rsidRPr="00A57F8F">
        <w:rPr>
          <w:rFonts w:cs="Arial"/>
          <w:szCs w:val="24"/>
        </w:rPr>
        <w:t>26 Mayıs 2021'den önce MDD veya AIMDD uyarınca düzenlen</w:t>
      </w:r>
      <w:r w:rsidR="00570016">
        <w:rPr>
          <w:rFonts w:cs="Arial"/>
          <w:szCs w:val="24"/>
        </w:rPr>
        <w:t>en</w:t>
      </w:r>
      <w:r w:rsidRPr="00A57F8F">
        <w:rPr>
          <w:rFonts w:cs="Arial"/>
          <w:szCs w:val="24"/>
        </w:rPr>
        <w:t xml:space="preserve"> geçerli bir EC sertifikası</w:t>
      </w:r>
      <w:r w:rsidR="003769EC">
        <w:rPr>
          <w:rFonts w:cs="Arial"/>
          <w:szCs w:val="24"/>
        </w:rPr>
        <w:t xml:space="preserve"> tarafından kapsanan</w:t>
      </w:r>
      <w:r w:rsidRPr="00A57F8F">
        <w:rPr>
          <w:rFonts w:cs="Arial"/>
          <w:szCs w:val="24"/>
        </w:rPr>
        <w:t xml:space="preserve"> cihazlar ele alınmaktadır.</w:t>
      </w:r>
    </w:p>
    <w:p w14:paraId="04B89B3C" w14:textId="77777777" w:rsidR="005A34A7" w:rsidRPr="00A57F8F" w:rsidRDefault="005A34A7" w:rsidP="00556ED4">
      <w:pPr>
        <w:spacing w:after="0" w:line="240" w:lineRule="auto"/>
        <w:rPr>
          <w:rFonts w:cs="Arial"/>
          <w:szCs w:val="24"/>
        </w:rPr>
      </w:pPr>
    </w:p>
    <w:p w14:paraId="21FB4451" w14:textId="09EA9DFD" w:rsidR="00DB3168" w:rsidRPr="00A57F8F" w:rsidRDefault="00DB3168" w:rsidP="00294BFF">
      <w:pPr>
        <w:pStyle w:val="Balk1"/>
      </w:pPr>
      <w:r w:rsidRPr="00A57F8F">
        <w:t>Kapsam</w:t>
      </w:r>
    </w:p>
    <w:p w14:paraId="4A52C8AB" w14:textId="4CBD09A2" w:rsidR="00DB3168" w:rsidRPr="00A57F8F" w:rsidRDefault="00DB3168" w:rsidP="00CF2357">
      <w:r w:rsidRPr="00A57F8F">
        <w:t>Bu rehber doküman, MDR Madde 120 (3) ikinci alt paragrafta tanımlanan uygun gözetimin bir parçası olarak onaylanmış kuruluşlar</w:t>
      </w:r>
      <w:r w:rsidRPr="00A57F8F">
        <w:rPr>
          <w:rStyle w:val="DipnotBavurusu"/>
          <w:rFonts w:cs="Arial"/>
          <w:szCs w:val="24"/>
        </w:rPr>
        <w:footnoteReference w:id="8"/>
      </w:r>
      <w:r w:rsidRPr="00A57F8F">
        <w:t xml:space="preserve"> tarafından gerçekleştirilecek faaliyetleri özetlemektedir. </w:t>
      </w:r>
      <w:r w:rsidR="005320DD">
        <w:t xml:space="preserve">Ayrıca, </w:t>
      </w:r>
      <w:r w:rsidR="005320DD" w:rsidRPr="00A57F8F">
        <w:t>bu rehber doküman</w:t>
      </w:r>
      <w:r w:rsidR="005320DD">
        <w:t xml:space="preserve"> o</w:t>
      </w:r>
      <w:r w:rsidRPr="00A57F8F">
        <w:t xml:space="preserve">naylanmış kuruluşlar tarafından doğrulanacak unsurları açıklığa kavuşturmak </w:t>
      </w:r>
      <w:r w:rsidR="005320DD">
        <w:t>amacıyla,</w:t>
      </w:r>
      <w:r w:rsidRPr="00A57F8F">
        <w:t xml:space="preserve"> özellikle </w:t>
      </w:r>
      <w:r w:rsidR="002E785C">
        <w:t xml:space="preserve">kendi </w:t>
      </w:r>
      <w:r w:rsidRPr="00A57F8F">
        <w:t>kalite yönetim sistemleri ile ilgili</w:t>
      </w:r>
      <w:r w:rsidR="005320DD">
        <w:t xml:space="preserve"> olmak üzere, </w:t>
      </w:r>
      <w:r w:rsidRPr="00A57F8F">
        <w:t>imalatçıların</w:t>
      </w:r>
      <w:r w:rsidR="005320DD" w:rsidRPr="005320DD">
        <w:t xml:space="preserve"> </w:t>
      </w:r>
      <w:r w:rsidR="005320DD" w:rsidRPr="00A57F8F">
        <w:t>belirli</w:t>
      </w:r>
      <w:r w:rsidRPr="00A57F8F">
        <w:t xml:space="preserve"> yükümlülüklerine ilişkin gereklilikleri kapsamaktadır.</w:t>
      </w:r>
    </w:p>
    <w:p w14:paraId="6685DE60" w14:textId="48F29155" w:rsidR="00451AC2" w:rsidRPr="00A57F8F" w:rsidRDefault="00180165" w:rsidP="00CF2357">
      <w:r>
        <w:t>Bu d</w:t>
      </w:r>
      <w:r w:rsidR="005320DD">
        <w:t>oküman</w:t>
      </w:r>
      <w:r w:rsidR="00451AC2" w:rsidRPr="00A57F8F">
        <w:t xml:space="preserve">; MDD veya AIMDD kapsamında </w:t>
      </w:r>
      <w:r w:rsidR="005320DD" w:rsidRPr="005320DD">
        <w:t>yasalara uygun bir şekilde</w:t>
      </w:r>
      <w:r w:rsidR="005320DD">
        <w:t xml:space="preserve"> </w:t>
      </w:r>
      <w:r w:rsidR="00451AC2" w:rsidRPr="00A57F8F">
        <w:t>sertifikalar</w:t>
      </w:r>
      <w:r w:rsidR="005320DD">
        <w:t xml:space="preserve"> düzenleyen </w:t>
      </w:r>
      <w:r w:rsidR="00451AC2" w:rsidRPr="00A57F8F">
        <w:t>onaylanmış kuruluşlar</w:t>
      </w:r>
      <w:r w:rsidR="002E6B98">
        <w:t>a</w:t>
      </w:r>
      <w:r w:rsidR="00451AC2" w:rsidRPr="00A57F8F">
        <w:t>, bu onaylanmış kuruluşların</w:t>
      </w:r>
      <w:r w:rsidR="005320DD" w:rsidRPr="005320DD">
        <w:t xml:space="preserve"> </w:t>
      </w:r>
      <w:r w:rsidR="005320DD" w:rsidRPr="00A57F8F">
        <w:t>MDR kapsamında</w:t>
      </w:r>
      <w:r w:rsidR="00451AC2" w:rsidRPr="00A57F8F">
        <w:t xml:space="preserve"> ata</w:t>
      </w:r>
      <w:r w:rsidR="00415FA6">
        <w:t>n</w:t>
      </w:r>
      <w:r w:rsidR="00451AC2" w:rsidRPr="00A57F8F">
        <w:t>ma</w:t>
      </w:r>
      <w:r w:rsidR="00415FA6">
        <w:t>ya yönelik</w:t>
      </w:r>
      <w:r w:rsidR="00451AC2" w:rsidRPr="00A57F8F">
        <w:t xml:space="preserve"> başvuruda bulunup bulunmadıklarına veya </w:t>
      </w:r>
      <w:r w:rsidR="005320DD">
        <w:t>atanıp atanmadıklarına</w:t>
      </w:r>
      <w:r w:rsidR="00451AC2" w:rsidRPr="00A57F8F">
        <w:t xml:space="preserve"> bakılmaksı</w:t>
      </w:r>
      <w:r w:rsidR="00F61E45" w:rsidRPr="00A57F8F">
        <w:t>zın (bakınız MDCG 2019-10 rev.1</w:t>
      </w:r>
      <w:r w:rsidR="00F61E45" w:rsidRPr="00A57F8F">
        <w:rPr>
          <w:rStyle w:val="DipnotBavurusu"/>
          <w:rFonts w:cs="Arial"/>
          <w:szCs w:val="24"/>
        </w:rPr>
        <w:footnoteReference w:id="9"/>
      </w:r>
      <w:r w:rsidR="00451AC2" w:rsidRPr="00A57F8F">
        <w:t>)</w:t>
      </w:r>
      <w:r>
        <w:t>,</w:t>
      </w:r>
      <w:r w:rsidR="00451AC2" w:rsidRPr="00A57F8F">
        <w:t xml:space="preserve"> onaylanmış kuruluşlardan sorumlu ilgili otorite</w:t>
      </w:r>
      <w:r>
        <w:t>nin</w:t>
      </w:r>
      <w:r w:rsidR="00451AC2" w:rsidRPr="00A57F8F">
        <w:t xml:space="preserve"> MDR Madde 120(3) kapsamında onaylanmış kuruluşun faaliyetlerini izleme hakkına sahip olduğu ve bunu yaptığı sürece </w:t>
      </w:r>
      <w:r w:rsidR="00FD2B7C">
        <w:t>uygulanır</w:t>
      </w:r>
      <w:r w:rsidR="00451AC2" w:rsidRPr="00A57F8F">
        <w:t xml:space="preserve">. </w:t>
      </w:r>
    </w:p>
    <w:p w14:paraId="7F92BD6F" w14:textId="4566E4AE" w:rsidR="00F803B1" w:rsidRPr="00294BFF" w:rsidRDefault="00F803B1" w:rsidP="00294BFF">
      <w:pPr>
        <w:pStyle w:val="Balk1"/>
        <w:rPr>
          <w:b w:val="0"/>
        </w:rPr>
      </w:pPr>
      <w:r w:rsidRPr="00294BFF">
        <w:t>İmalatçının</w:t>
      </w:r>
      <w:r w:rsidR="00160483" w:rsidRPr="00294BFF">
        <w:t xml:space="preserve"> kalite yönetim sistemi</w:t>
      </w:r>
      <w:r w:rsidR="00FA6614">
        <w:t>ne</w:t>
      </w:r>
      <w:r w:rsidR="00160483" w:rsidRPr="00294BFF">
        <w:t xml:space="preserve"> ilişkin gereklilikler</w:t>
      </w:r>
      <w:r w:rsidR="00C94A50">
        <w:t xml:space="preserve"> </w:t>
      </w:r>
      <w:r w:rsidR="00FA6614">
        <w:t>ve ilgili yükümlülükler</w:t>
      </w:r>
    </w:p>
    <w:p w14:paraId="115FB17D" w14:textId="0AADC634" w:rsidR="00160483" w:rsidRPr="00A57F8F" w:rsidRDefault="00160483" w:rsidP="00CF2357">
      <w:r w:rsidRPr="00A57F8F">
        <w:t xml:space="preserve">MDR Madde 120(3); </w:t>
      </w:r>
      <w:r w:rsidR="00294BFF" w:rsidRPr="00A57F8F">
        <w:t>cihazların</w:t>
      </w:r>
      <w:r w:rsidR="00294BFF">
        <w:t xml:space="preserve">  </w:t>
      </w:r>
      <w:r w:rsidR="00F319A7">
        <w:t>MDD/AIMDD Direktiflerinden</w:t>
      </w:r>
      <w:r w:rsidR="00206732">
        <w:t xml:space="preserve"> </w:t>
      </w:r>
      <w:r w:rsidRPr="00A57F8F">
        <w:t>herhangi birine uymaya devam etmeleri ve tasarım</w:t>
      </w:r>
      <w:r w:rsidR="00206732">
        <w:t xml:space="preserve"> ile </w:t>
      </w:r>
      <w:r w:rsidR="00F319A7">
        <w:t>kullanım amacında</w:t>
      </w:r>
      <w:r w:rsidR="00294BFF">
        <w:t xml:space="preserve"> </w:t>
      </w:r>
      <w:r w:rsidRPr="00A57F8F">
        <w:t>önemli bir değişiklik olma</w:t>
      </w:r>
      <w:r w:rsidR="006E46D2">
        <w:t>ması şartıyla</w:t>
      </w:r>
      <w:r w:rsidR="00C52701">
        <w:t>;</w:t>
      </w:r>
      <w:r w:rsidR="006E46D2" w:rsidRPr="00A57F8F">
        <w:t xml:space="preserve"> </w:t>
      </w:r>
      <w:r w:rsidR="00F319A7">
        <w:t>MDD/AIMDD kapsamında</w:t>
      </w:r>
      <w:r w:rsidR="00F319A7" w:rsidRPr="00A57F8F">
        <w:t xml:space="preserve"> geçerli sertifikalar</w:t>
      </w:r>
      <w:r w:rsidR="00F319A7">
        <w:t xml:space="preserve"> tarafından kapsan</w:t>
      </w:r>
      <w:r w:rsidR="00C52701">
        <w:t>maları halinde</w:t>
      </w:r>
      <w:r w:rsidR="00F319A7" w:rsidRPr="00A57F8F">
        <w:t xml:space="preserve"> </w:t>
      </w:r>
      <w:r w:rsidRPr="00A57F8F">
        <w:t xml:space="preserve">26 Mayıs 2024 tarihine kadar piyasaya arz edilebileceğini veya hizmete sunulabileceğini </w:t>
      </w:r>
      <w:r w:rsidR="00206732">
        <w:t>belirtmektedir</w:t>
      </w:r>
      <w:r w:rsidRPr="00A57F8F">
        <w:t xml:space="preserve">. Bu nedenle prensip olarak, Direktifler kapsamında onaylanan kalite yönetim sisteminin sürdürülmesi gerekmektedir. </w:t>
      </w:r>
      <w:r w:rsidR="00E23861">
        <w:t>İlaveten</w:t>
      </w:r>
      <w:r w:rsidRPr="00A57F8F">
        <w:t>, MDR Madde 120(3)'ün ilk alt paragrafı uyarınca;</w:t>
      </w:r>
      <w:r w:rsidR="006E46D2" w:rsidRPr="006E46D2">
        <w:t xml:space="preserve"> </w:t>
      </w:r>
      <w:r w:rsidR="006E46D2">
        <w:t xml:space="preserve">MDR </w:t>
      </w:r>
      <w:r w:rsidR="006E46D2" w:rsidRPr="00A57F8F">
        <w:t>Bölüm VII</w:t>
      </w:r>
      <w:r w:rsidR="006E46D2">
        <w:t xml:space="preserve">’ belirtilen </w:t>
      </w:r>
      <w:r w:rsidR="006E46D2" w:rsidRPr="006E46D2">
        <w:t>piyasaya arz sonrası gözetim, piyasa gözetimi ve denetimi, vijilans, iktisadi işletmecilerin ve cihazların kaydı</w:t>
      </w:r>
      <w:r w:rsidR="00AA7502">
        <w:t>na ilişkin MDR Bölüm VII’de belirtilen</w:t>
      </w:r>
      <w:r w:rsidR="006E46D2" w:rsidRPr="006E46D2">
        <w:t xml:space="preserve"> ilgili </w:t>
      </w:r>
      <w:r w:rsidR="006E46D2">
        <w:t>tüm gereklilikler</w:t>
      </w:r>
      <w:r w:rsidR="006E46D2" w:rsidRPr="006E46D2">
        <w:t xml:space="preserve">; </w:t>
      </w:r>
      <w:r w:rsidR="006E46D2" w:rsidRPr="00294BFF">
        <w:t>Direktiflerdeki</w:t>
      </w:r>
      <w:r w:rsidR="006E46D2">
        <w:t xml:space="preserve"> </w:t>
      </w:r>
      <w:r w:rsidR="00B93859">
        <w:t>karşılık gelen</w:t>
      </w:r>
      <w:r w:rsidR="006E46D2" w:rsidRPr="006E46D2">
        <w:t xml:space="preserve"> gerekliliklerin yerine </w:t>
      </w:r>
      <w:r w:rsidR="00B93859">
        <w:t xml:space="preserve">“kalıt cihazlara” </w:t>
      </w:r>
      <w:r w:rsidR="006E46D2" w:rsidRPr="006E46D2">
        <w:t>uygulanır.</w:t>
      </w:r>
      <w:r w:rsidR="00294BFF">
        <w:t xml:space="preserve"> </w:t>
      </w:r>
      <w:r w:rsidRPr="00A57F8F">
        <w:t>MDR gereklilikleri şimdi, 4. Bölümde açıklandığı gibi onaylanmış kuruluşun gözetim faaliyetlerine tabidir.</w:t>
      </w:r>
    </w:p>
    <w:p w14:paraId="6D0F63D9" w14:textId="73CD8847" w:rsidR="00CE20D2" w:rsidRPr="00A57F8F" w:rsidRDefault="00CE20D2" w:rsidP="00CF2357">
      <w:r w:rsidRPr="00A57F8F">
        <w:t>Tıbbi cihazlara ilişkin Avrupa veri tabanı (EUDAMED) tamamen işlevsel hale gelene kadar, imalatçıların veya yetkili temsilcilerinin ilgili ulusal hükümleri uygulaması ve MDCG 2021-1 Rev. 1</w:t>
      </w:r>
      <w:r w:rsidR="006C200E" w:rsidRPr="00A57F8F">
        <w:rPr>
          <w:rStyle w:val="DipnotBavurusu"/>
          <w:rFonts w:cs="Arial"/>
          <w:szCs w:val="24"/>
        </w:rPr>
        <w:footnoteReference w:id="10"/>
      </w:r>
      <w:r w:rsidRPr="00A57F8F">
        <w:t>'i dikkate alması beklenmektedir.</w:t>
      </w:r>
    </w:p>
    <w:p w14:paraId="6D238142" w14:textId="25D8D5A9" w:rsidR="00CE20D2" w:rsidRPr="00A57F8F" w:rsidRDefault="00A31B23" w:rsidP="00CF2357">
      <w:r w:rsidRPr="00D73BA9">
        <w:t xml:space="preserve">'Kalıt cihazlar' ayrıca MDD'ye göre sınıflandırmalarına </w:t>
      </w:r>
      <w:r w:rsidR="008474FB" w:rsidRPr="00D73BA9">
        <w:t xml:space="preserve">bağlı </w:t>
      </w:r>
      <w:r w:rsidRPr="00D73BA9">
        <w:t>olarak</w:t>
      </w:r>
      <w:r w:rsidR="008474FB" w:rsidRPr="00D73BA9">
        <w:t>,</w:t>
      </w:r>
      <w:r w:rsidRPr="00D73BA9">
        <w:t xml:space="preserve"> </w:t>
      </w:r>
      <w:r w:rsidR="008474FB" w:rsidRPr="00D73BA9">
        <w:t xml:space="preserve">MDR </w:t>
      </w:r>
      <w:r w:rsidRPr="00D73BA9">
        <w:t xml:space="preserve">Madde 85 ve Madde 86'da belirtilen gerekliliklere </w:t>
      </w:r>
      <w:r w:rsidR="008474FB" w:rsidRPr="00D73BA9">
        <w:t xml:space="preserve">de </w:t>
      </w:r>
      <w:r w:rsidRPr="00D73BA9">
        <w:t xml:space="preserve">tabidir. </w:t>
      </w:r>
      <w:r w:rsidR="008474FB" w:rsidRPr="00D73BA9">
        <w:t>Söz konusu cihazların,</w:t>
      </w:r>
      <w:r w:rsidRPr="00D73BA9">
        <w:t xml:space="preserve"> MDR kapsamında</w:t>
      </w:r>
      <w:r w:rsidRPr="00A57F8F">
        <w:t xml:space="preserve"> risk sınıflarında olası bir değişiklik</w:t>
      </w:r>
      <w:r w:rsidR="008474FB">
        <w:t xml:space="preserve"> g</w:t>
      </w:r>
      <w:r w:rsidR="008474FB" w:rsidRPr="00A57F8F">
        <w:t>eçiş dönemi</w:t>
      </w:r>
      <w:r w:rsidR="00D73BA9">
        <w:t xml:space="preserve"> süresince</w:t>
      </w:r>
      <w:r w:rsidRPr="00A57F8F">
        <w:t xml:space="preserve"> dikkate alınmamalıdır. İlgili MDR gerekliliklerinin uygulanması amacıyla AIMDD'ye tabi aktif implante edilebilir cihazlar, sınıf III cihazlar olarak kabul edilmelidir.</w:t>
      </w:r>
    </w:p>
    <w:p w14:paraId="580896DA" w14:textId="2FA9C788" w:rsidR="00A31B23" w:rsidRPr="00A57F8F" w:rsidRDefault="008474FB" w:rsidP="00CF2357">
      <w:r w:rsidRPr="00A57F8F">
        <w:t>İmalatçılar tarafından</w:t>
      </w:r>
      <w:r>
        <w:t>,</w:t>
      </w:r>
      <w:r w:rsidRPr="00A57F8F">
        <w:t xml:space="preserve"> </w:t>
      </w:r>
      <w:r>
        <w:t xml:space="preserve">MDR </w:t>
      </w:r>
      <w:r w:rsidRPr="00A57F8F">
        <w:t>Madde 86</w:t>
      </w:r>
      <w:r>
        <w:t>’ya</w:t>
      </w:r>
      <w:r w:rsidRPr="00A57F8F">
        <w:t xml:space="preserve"> uygun olarak</w:t>
      </w:r>
      <w:r>
        <w:t xml:space="preserve"> p</w:t>
      </w:r>
      <w:r w:rsidR="00A31B23" w:rsidRPr="00A57F8F">
        <w:t>eriyodik güvenlik güncelleme raporlarının (</w:t>
      </w:r>
      <w:r w:rsidR="00505440" w:rsidRPr="00A57F8F">
        <w:t>PSUR'l</w:t>
      </w:r>
      <w:r w:rsidR="00505440">
        <w:t>a</w:t>
      </w:r>
      <w:r w:rsidR="00505440" w:rsidRPr="00A57F8F">
        <w:t>r</w:t>
      </w:r>
      <w:r w:rsidR="00A31B23" w:rsidRPr="00A57F8F">
        <w:t>), hazırlanması gerek</w:t>
      </w:r>
      <w:r>
        <w:t>mektedir.</w:t>
      </w:r>
      <w:r w:rsidRPr="008474FB">
        <w:t xml:space="preserve"> </w:t>
      </w:r>
      <w:r w:rsidRPr="00A57F8F">
        <w:t>PSUR'l</w:t>
      </w:r>
      <w:r w:rsidR="00505440">
        <w:t>a</w:t>
      </w:r>
      <w:r w:rsidRPr="00A57F8F">
        <w:t>r</w:t>
      </w:r>
      <w:r>
        <w:t xml:space="preserve">in </w:t>
      </w:r>
      <w:r w:rsidRPr="008474FB">
        <w:t xml:space="preserve">talep </w:t>
      </w:r>
      <w:r>
        <w:t>etmeleri halinde</w:t>
      </w:r>
      <w:r w:rsidRPr="008474FB">
        <w:t xml:space="preserve"> yetkili </w:t>
      </w:r>
      <w:r>
        <w:t>otoritelere sunulması gerekmektedir</w:t>
      </w:r>
      <w:r w:rsidRPr="008474FB">
        <w:t xml:space="preserve"> (EUDAMED dışında).</w:t>
      </w:r>
      <w:r w:rsidRPr="008474FB" w:rsidDel="008474FB">
        <w:t xml:space="preserve"> </w:t>
      </w:r>
    </w:p>
    <w:p w14:paraId="026462E5" w14:textId="4F93DFF2" w:rsidR="006C200E" w:rsidRPr="00A57F8F" w:rsidRDefault="006C200E" w:rsidP="00CF2357">
      <w:r w:rsidRPr="00A57F8F">
        <w:t>Piyasaya arz sonrası gözetim, piyasa gözetimi</w:t>
      </w:r>
      <w:r w:rsidR="00505440">
        <w:t xml:space="preserve"> ve denetimi</w:t>
      </w:r>
      <w:r w:rsidRPr="00A57F8F">
        <w:t xml:space="preserve">, vijilans, iktisadi işletmecilerin ve cihazların kaydı ile ilgili olmayan MDR gereklilikleri, </w:t>
      </w:r>
      <w:r w:rsidR="008474FB" w:rsidRPr="00A57F8F">
        <w:t xml:space="preserve">“kalıt cihazlar” </w:t>
      </w:r>
      <w:r w:rsidR="008474FB">
        <w:t>bakımından</w:t>
      </w:r>
      <w:r w:rsidRPr="00A57F8F">
        <w:t xml:space="preserve"> </w:t>
      </w:r>
      <w:r w:rsidR="008474FB" w:rsidRPr="00A57F8F">
        <w:t xml:space="preserve">prensipte </w:t>
      </w:r>
      <w:r w:rsidR="00AE5ECA" w:rsidRPr="00A57F8F">
        <w:t>iktisadi işletmeciler</w:t>
      </w:r>
      <w:r w:rsidR="00CF2EC7">
        <w:t>e</w:t>
      </w:r>
      <w:r w:rsidR="00AE5ECA" w:rsidRPr="00A57F8F">
        <w:t xml:space="preserve"> </w:t>
      </w:r>
      <w:r w:rsidR="00CF2EC7">
        <w:t>uygulanmamalıdır</w:t>
      </w:r>
      <w:r w:rsidRPr="00A57F8F">
        <w:t xml:space="preserve">. </w:t>
      </w:r>
      <w:r w:rsidRPr="005A6AFC">
        <w:t xml:space="preserve">'Kalıt cihazlar' </w:t>
      </w:r>
      <w:r w:rsidR="008474FB" w:rsidRPr="005A6AFC">
        <w:t>bakımından</w:t>
      </w:r>
      <w:r w:rsidR="008474FB">
        <w:t xml:space="preserve"> </w:t>
      </w:r>
      <w:r w:rsidRPr="00A57F8F">
        <w:t>u</w:t>
      </w:r>
      <w:r w:rsidR="002A620D" w:rsidRPr="00A57F8F">
        <w:t>ygulanamayan hükümlere örnekler;</w:t>
      </w:r>
      <w:r w:rsidRPr="00A57F8F">
        <w:t xml:space="preserve"> Madde 15</w:t>
      </w:r>
      <w:r w:rsidR="00E429EB" w:rsidRPr="00A57F8F">
        <w:rPr>
          <w:rStyle w:val="DipnotBavurusu"/>
          <w:rFonts w:cs="Arial"/>
          <w:szCs w:val="24"/>
        </w:rPr>
        <w:footnoteReference w:id="11"/>
      </w:r>
      <w:r w:rsidRPr="00A57F8F">
        <w:t>, Madde 16(3) ve (4), Madde 18, Madde 25, Madde 27, Madde 32</w:t>
      </w:r>
      <w:r w:rsidR="002A620D" w:rsidRPr="00A57F8F">
        <w:rPr>
          <w:rStyle w:val="DipnotBavurusu"/>
          <w:rFonts w:cs="Arial"/>
          <w:szCs w:val="24"/>
        </w:rPr>
        <w:footnoteReference w:id="12"/>
      </w:r>
      <w:r w:rsidR="008B7F71">
        <w:t>’</w:t>
      </w:r>
      <w:r w:rsidR="008B7F71" w:rsidRPr="00A57F8F">
        <w:t>d</w:t>
      </w:r>
      <w:r w:rsidR="008B7F71">
        <w:t>i</w:t>
      </w:r>
      <w:r w:rsidR="008B7F71" w:rsidRPr="00A57F8F">
        <w:t>r</w:t>
      </w:r>
      <w:r w:rsidR="002A620D" w:rsidRPr="00A57F8F">
        <w:t>. Bu; iktisadi işletmeciler</w:t>
      </w:r>
      <w:r w:rsidR="0006584A">
        <w:t>in ‘kalıt cihazlar’</w:t>
      </w:r>
      <w:r w:rsidR="00CD4921">
        <w:t xml:space="preserve"> için de diğer herhangi MDR gerekliliklerini takip etme olasılığına halel getirmez, </w:t>
      </w:r>
      <w:r w:rsidR="002A620D" w:rsidRPr="00A57F8F">
        <w:t xml:space="preserve"> özellikle de hem 'kalıt cihazlar' hem de MDR cihazlarıyla ilgileniyorlar ve tüm cihazlar için aynı prosedürleri uygulamak istiyorlarsa</w:t>
      </w:r>
      <w:r w:rsidRPr="00A57F8F">
        <w:t xml:space="preserve">. </w:t>
      </w:r>
    </w:p>
    <w:p w14:paraId="3A618C2B" w14:textId="1D6B8738" w:rsidR="002A620D" w:rsidRPr="00A57F8F" w:rsidRDefault="002A620D" w:rsidP="00CF2357">
      <w:r w:rsidRPr="00A57F8F">
        <w:t>MDD ve MDR'deki kalite yönetim sistemi gerek</w:t>
      </w:r>
      <w:r w:rsidR="008C3494">
        <w:t>lilik</w:t>
      </w:r>
      <w:r w:rsidRPr="00A57F8F">
        <w:t>lerinin bir karşılaştırması</w:t>
      </w:r>
      <w:r w:rsidR="008C3494">
        <w:t>na</w:t>
      </w:r>
      <w:r w:rsidRPr="00A57F8F">
        <w:t xml:space="preserve"> bu </w:t>
      </w:r>
      <w:r w:rsidR="008C3494">
        <w:t>dokümanın</w:t>
      </w:r>
      <w:r w:rsidR="008C3494" w:rsidRPr="00A57F8F">
        <w:t xml:space="preserve"> </w:t>
      </w:r>
      <w:r w:rsidRPr="00556ED4">
        <w:t>Ekinde</w:t>
      </w:r>
      <w:r w:rsidRPr="00A57F8F">
        <w:t xml:space="preserve"> </w:t>
      </w:r>
      <w:r w:rsidR="008C3494">
        <w:t xml:space="preserve">yer </w:t>
      </w:r>
      <w:r w:rsidRPr="00A57F8F">
        <w:t>verilmiştir</w:t>
      </w:r>
      <w:r w:rsidR="00E23861">
        <w:t xml:space="preserve"> (</w:t>
      </w:r>
      <w:r w:rsidR="00194705" w:rsidRPr="00194705">
        <w:t xml:space="preserve">Böyle bir karşılaştırmanın </w:t>
      </w:r>
      <w:r w:rsidR="00194705">
        <w:t>sonuç</w:t>
      </w:r>
      <w:r w:rsidR="00194705" w:rsidRPr="00194705">
        <w:t xml:space="preserve"> ve </w:t>
      </w:r>
      <w:r w:rsidR="00194705">
        <w:t>çıkarım</w:t>
      </w:r>
      <w:r w:rsidR="00194705" w:rsidRPr="00194705">
        <w:t>ları için bkz. bölüm 5</w:t>
      </w:r>
      <w:r w:rsidR="00E23861">
        <w:t>)</w:t>
      </w:r>
      <w:r w:rsidRPr="00A57F8F">
        <w:t>.</w:t>
      </w:r>
    </w:p>
    <w:p w14:paraId="161D870C" w14:textId="4331312D" w:rsidR="002F78B6" w:rsidRPr="00A57F8F" w:rsidRDefault="002F78B6" w:rsidP="00556ED4">
      <w:pPr>
        <w:pStyle w:val="Balk1"/>
      </w:pPr>
      <w:r w:rsidRPr="00A57F8F">
        <w:t>MDR Madde 120(3) uyarınca gözetim</w:t>
      </w:r>
      <w:r w:rsidR="00924E1C">
        <w:t xml:space="preserve"> ve denetim</w:t>
      </w:r>
    </w:p>
    <w:p w14:paraId="7174EC58" w14:textId="51385620" w:rsidR="001D101F" w:rsidRDefault="002F78B6" w:rsidP="00B115C4">
      <w:pPr>
        <w:pStyle w:val="Balk1"/>
        <w:numPr>
          <w:ilvl w:val="1"/>
          <w:numId w:val="16"/>
        </w:numPr>
      </w:pPr>
      <w:r w:rsidRPr="001D101F">
        <w:t>Genel</w:t>
      </w:r>
    </w:p>
    <w:p w14:paraId="77D4B48B" w14:textId="773CCA63" w:rsidR="002F78B6" w:rsidRPr="00A57F8F" w:rsidRDefault="002F78B6" w:rsidP="00CF2357">
      <w:pPr>
        <w:rPr>
          <w:rFonts w:cs="Arial"/>
          <w:szCs w:val="24"/>
        </w:rPr>
      </w:pPr>
      <w:r w:rsidRPr="00A57F8F">
        <w:rPr>
          <w:rFonts w:cs="Arial"/>
          <w:szCs w:val="24"/>
        </w:rPr>
        <w:t xml:space="preserve">MDR Madde 120(3) uyarınca; MDD veya AIMDD kapsamında </w:t>
      </w:r>
      <w:r w:rsidR="00E028E4">
        <w:rPr>
          <w:rFonts w:cs="Arial"/>
          <w:szCs w:val="24"/>
        </w:rPr>
        <w:t>atanmış</w:t>
      </w:r>
      <w:r w:rsidR="00E028E4" w:rsidRPr="00A57F8F">
        <w:rPr>
          <w:rFonts w:cs="Arial"/>
          <w:szCs w:val="24"/>
        </w:rPr>
        <w:t xml:space="preserve"> </w:t>
      </w:r>
      <w:r w:rsidRPr="00A57F8F">
        <w:rPr>
          <w:rFonts w:cs="Arial"/>
          <w:szCs w:val="24"/>
        </w:rPr>
        <w:t xml:space="preserve">onaylanmış kuruluşlar, MDR Madde 52 kapsamında değerlendirme </w:t>
      </w:r>
      <w:r w:rsidR="0047690B">
        <w:rPr>
          <w:rFonts w:cs="Arial"/>
          <w:szCs w:val="24"/>
        </w:rPr>
        <w:t>gerçekleştirmek</w:t>
      </w:r>
      <w:r w:rsidR="0047690B" w:rsidRPr="00A57F8F">
        <w:rPr>
          <w:rFonts w:cs="Arial"/>
          <w:szCs w:val="24"/>
        </w:rPr>
        <w:t xml:space="preserve"> </w:t>
      </w:r>
      <w:r w:rsidRPr="00A57F8F">
        <w:rPr>
          <w:rFonts w:cs="Arial"/>
          <w:szCs w:val="24"/>
        </w:rPr>
        <w:t>üzere atanmadığından</w:t>
      </w:r>
      <w:r w:rsidR="00E028E4">
        <w:rPr>
          <w:rFonts w:cs="Arial"/>
          <w:szCs w:val="24"/>
        </w:rPr>
        <w:t xml:space="preserve"> dolayı,</w:t>
      </w:r>
      <w:r w:rsidRPr="00A57F8F">
        <w:rPr>
          <w:rFonts w:cs="Arial"/>
          <w:szCs w:val="24"/>
        </w:rPr>
        <w:t xml:space="preserve"> onaylanmış kuruluş</w:t>
      </w:r>
      <w:r w:rsidR="00E028E4">
        <w:rPr>
          <w:rFonts w:cs="Arial"/>
          <w:szCs w:val="24"/>
        </w:rPr>
        <w:t>ların</w:t>
      </w:r>
      <w:r w:rsidRPr="00A57F8F">
        <w:rPr>
          <w:rFonts w:cs="Arial"/>
          <w:szCs w:val="24"/>
        </w:rPr>
        <w:t xml:space="preserve"> faaliyetleri ilke olarak Direktifler kapsamında</w:t>
      </w:r>
      <w:r w:rsidR="0047690B">
        <w:rPr>
          <w:rFonts w:cs="Arial"/>
          <w:szCs w:val="24"/>
        </w:rPr>
        <w:t>ki</w:t>
      </w:r>
      <w:r w:rsidRPr="00A57F8F">
        <w:rPr>
          <w:rFonts w:cs="Arial"/>
          <w:szCs w:val="24"/>
        </w:rPr>
        <w:t xml:space="preserve"> önceki gözetim</w:t>
      </w:r>
      <w:r w:rsidR="0047690B">
        <w:rPr>
          <w:rFonts w:cs="Arial"/>
          <w:szCs w:val="24"/>
        </w:rPr>
        <w:t xml:space="preserve"> ve denetim</w:t>
      </w:r>
      <w:r w:rsidR="0077485C">
        <w:rPr>
          <w:rFonts w:cs="Arial"/>
          <w:szCs w:val="24"/>
        </w:rPr>
        <w:t xml:space="preserve"> </w:t>
      </w:r>
      <w:r w:rsidRPr="00A57F8F">
        <w:rPr>
          <w:rFonts w:cs="Arial"/>
          <w:szCs w:val="24"/>
        </w:rPr>
        <w:t xml:space="preserve">faaliyetlerinin bir devamı olmalıdır. Onaylanmış kuruluşların gözetim </w:t>
      </w:r>
      <w:r w:rsidR="004C7E7E">
        <w:rPr>
          <w:rFonts w:cs="Arial"/>
          <w:szCs w:val="24"/>
        </w:rPr>
        <w:t xml:space="preserve">ve denetim </w:t>
      </w:r>
      <w:r w:rsidRPr="00A57F8F">
        <w:rPr>
          <w:rFonts w:cs="Arial"/>
          <w:szCs w:val="24"/>
        </w:rPr>
        <w:t>faaliyetleri çerçevesinde, geçiş hükümleri</w:t>
      </w:r>
      <w:r w:rsidR="00E028E4">
        <w:rPr>
          <w:rFonts w:cs="Arial"/>
          <w:szCs w:val="24"/>
        </w:rPr>
        <w:t xml:space="preserve"> sonucu ortaya çıkan </w:t>
      </w:r>
      <w:r w:rsidRPr="00A57F8F">
        <w:rPr>
          <w:rFonts w:cs="Arial"/>
          <w:szCs w:val="24"/>
        </w:rPr>
        <w:t xml:space="preserve">yeni gereklilikleri dikkate almaları gerekmektedir (bakınız Bölüm 3). </w:t>
      </w:r>
      <w:r w:rsidR="00E028E4" w:rsidRPr="00A57F8F">
        <w:rPr>
          <w:rFonts w:cs="Arial"/>
          <w:szCs w:val="24"/>
        </w:rPr>
        <w:t xml:space="preserve">Onaylanmış kuruluşlar, </w:t>
      </w:r>
      <w:r w:rsidR="00E028E4">
        <w:rPr>
          <w:rFonts w:cs="Arial"/>
          <w:szCs w:val="24"/>
        </w:rPr>
        <w:t>b</w:t>
      </w:r>
      <w:r w:rsidRPr="00A57F8F">
        <w:rPr>
          <w:rFonts w:cs="Arial"/>
          <w:szCs w:val="24"/>
        </w:rPr>
        <w:t>unu yaparken</w:t>
      </w:r>
      <w:r w:rsidR="00E028E4">
        <w:rPr>
          <w:rFonts w:cs="Arial"/>
          <w:szCs w:val="24"/>
        </w:rPr>
        <w:t xml:space="preserve"> örneğin </w:t>
      </w:r>
      <w:r w:rsidRPr="00A57F8F">
        <w:rPr>
          <w:rFonts w:cs="Arial"/>
          <w:szCs w:val="24"/>
        </w:rPr>
        <w:t>CAMD geçiş alt grubu</w:t>
      </w:r>
      <w:r w:rsidRPr="00A57F8F">
        <w:rPr>
          <w:rStyle w:val="DipnotBavurusu"/>
          <w:rFonts w:cs="Arial"/>
          <w:szCs w:val="24"/>
        </w:rPr>
        <w:footnoteReference w:id="13"/>
      </w:r>
      <w:r w:rsidRPr="00A57F8F">
        <w:rPr>
          <w:rFonts w:cs="Arial"/>
          <w:szCs w:val="24"/>
        </w:rPr>
        <w:t xml:space="preserve"> ve ilgili MDCG</w:t>
      </w:r>
      <w:r w:rsidR="00E028E4">
        <w:rPr>
          <w:rFonts w:cs="Arial"/>
          <w:szCs w:val="24"/>
        </w:rPr>
        <w:t xml:space="preserve"> rehberi </w:t>
      </w:r>
      <w:r w:rsidRPr="00A57F8F">
        <w:rPr>
          <w:rStyle w:val="DipnotBavurusu"/>
          <w:rFonts w:cs="Arial"/>
          <w:szCs w:val="24"/>
        </w:rPr>
        <w:footnoteReference w:id="14"/>
      </w:r>
      <w:r w:rsidRPr="00A57F8F">
        <w:rPr>
          <w:rFonts w:cs="Arial"/>
          <w:szCs w:val="24"/>
        </w:rPr>
        <w:t xml:space="preserve"> tarafından sağlanan açıklamayı dikkate almalıdır. </w:t>
      </w:r>
    </w:p>
    <w:p w14:paraId="6F082B31" w14:textId="3A6AA5B1" w:rsidR="002F78B6" w:rsidRPr="00A57F8F" w:rsidRDefault="008B7324" w:rsidP="00CF2357">
      <w:pPr>
        <w:rPr>
          <w:rFonts w:cs="Arial"/>
          <w:szCs w:val="24"/>
        </w:rPr>
      </w:pPr>
      <w:r>
        <w:rPr>
          <w:rFonts w:cs="Arial"/>
          <w:szCs w:val="24"/>
        </w:rPr>
        <w:t>O</w:t>
      </w:r>
      <w:r w:rsidRPr="00A57F8F">
        <w:rPr>
          <w:rFonts w:cs="Arial"/>
          <w:szCs w:val="24"/>
        </w:rPr>
        <w:t>naylanmış kuruluşun</w:t>
      </w:r>
      <w:r>
        <w:rPr>
          <w:rFonts w:cs="Arial"/>
          <w:szCs w:val="24"/>
        </w:rPr>
        <w:t>, i</w:t>
      </w:r>
      <w:r w:rsidR="002F78B6" w:rsidRPr="00A57F8F">
        <w:rPr>
          <w:rFonts w:cs="Arial"/>
          <w:szCs w:val="24"/>
        </w:rPr>
        <w:t xml:space="preserve">malatçı tarafından </w:t>
      </w:r>
      <w:r>
        <w:rPr>
          <w:rFonts w:cs="Arial"/>
          <w:szCs w:val="24"/>
        </w:rPr>
        <w:t>sağlanan</w:t>
      </w:r>
      <w:r w:rsidRPr="00A57F8F">
        <w:rPr>
          <w:rFonts w:cs="Arial"/>
          <w:szCs w:val="24"/>
        </w:rPr>
        <w:t xml:space="preserve"> </w:t>
      </w:r>
      <w:r w:rsidR="002F78B6" w:rsidRPr="00A57F8F">
        <w:rPr>
          <w:rFonts w:cs="Arial"/>
          <w:szCs w:val="24"/>
        </w:rPr>
        <w:t>bilgilerin ardından mevcut MDD veya AIMDD sertifikalarından hangisinin kullanılmaya devam edeceğini ve</w:t>
      </w:r>
      <w:r>
        <w:rPr>
          <w:rFonts w:cs="Arial"/>
          <w:szCs w:val="24"/>
        </w:rPr>
        <w:t xml:space="preserve"> söz konusu sertifikaların</w:t>
      </w:r>
      <w:r w:rsidR="002F78B6" w:rsidRPr="00A57F8F">
        <w:rPr>
          <w:rFonts w:cs="Arial"/>
          <w:szCs w:val="24"/>
        </w:rPr>
        <w:t xml:space="preserve"> kapsamlarının değişmeyip değişmeyeceğini belirlemesi gere</w:t>
      </w:r>
      <w:r>
        <w:rPr>
          <w:rFonts w:cs="Arial"/>
          <w:szCs w:val="24"/>
        </w:rPr>
        <w:t>kmektedir.</w:t>
      </w:r>
    </w:p>
    <w:p w14:paraId="48899EAA" w14:textId="7F74972F" w:rsidR="002F78B6" w:rsidRDefault="00AE4CCE" w:rsidP="00CF2357">
      <w:pPr>
        <w:rPr>
          <w:rFonts w:cs="Arial"/>
          <w:szCs w:val="24"/>
        </w:rPr>
      </w:pPr>
      <w:r>
        <w:rPr>
          <w:rFonts w:cs="Arial"/>
          <w:szCs w:val="24"/>
        </w:rPr>
        <w:t>Ayrıca</w:t>
      </w:r>
      <w:r w:rsidRPr="00A57F8F" w:rsidDel="00AE4CCE">
        <w:rPr>
          <w:rFonts w:cs="Arial"/>
          <w:szCs w:val="24"/>
        </w:rPr>
        <w:t xml:space="preserve"> </w:t>
      </w:r>
      <w:r>
        <w:rPr>
          <w:rFonts w:cs="Arial"/>
          <w:szCs w:val="24"/>
        </w:rPr>
        <w:t>o</w:t>
      </w:r>
      <w:r w:rsidR="002F78B6" w:rsidRPr="00A57F8F">
        <w:rPr>
          <w:rFonts w:cs="Arial"/>
          <w:szCs w:val="24"/>
        </w:rPr>
        <w:t>naylanmış kuruluş</w:t>
      </w:r>
      <w:r>
        <w:rPr>
          <w:rFonts w:cs="Arial"/>
          <w:szCs w:val="24"/>
        </w:rPr>
        <w:t xml:space="preserve">ların, </w:t>
      </w:r>
      <w:r w:rsidR="002F78B6" w:rsidRPr="00A57F8F">
        <w:rPr>
          <w:rFonts w:cs="Arial"/>
          <w:szCs w:val="24"/>
        </w:rPr>
        <w:t xml:space="preserve">onaylanmış kuruluş olarak hak ve </w:t>
      </w:r>
      <w:r w:rsidR="00D26894">
        <w:rPr>
          <w:rFonts w:cs="Arial"/>
          <w:szCs w:val="24"/>
        </w:rPr>
        <w:t>yükümlülüklerin</w:t>
      </w:r>
      <w:r w:rsidR="00D24A98">
        <w:rPr>
          <w:rFonts w:cs="Arial"/>
          <w:szCs w:val="24"/>
        </w:rPr>
        <w:t>in</w:t>
      </w:r>
      <w:r w:rsidR="002F78B6" w:rsidRPr="00A57F8F">
        <w:rPr>
          <w:rFonts w:cs="Arial"/>
          <w:szCs w:val="24"/>
        </w:rPr>
        <w:t xml:space="preserve"> </w:t>
      </w:r>
      <w:r w:rsidRPr="00A57F8F">
        <w:rPr>
          <w:rFonts w:cs="Arial"/>
          <w:szCs w:val="24"/>
        </w:rPr>
        <w:t xml:space="preserve">yeni statüleri </w:t>
      </w:r>
      <w:r>
        <w:rPr>
          <w:rFonts w:cs="Arial"/>
          <w:szCs w:val="24"/>
        </w:rPr>
        <w:t xml:space="preserve">kapsamında </w:t>
      </w:r>
      <w:r w:rsidR="00D26894" w:rsidRPr="00A57F8F">
        <w:rPr>
          <w:rFonts w:cs="Arial"/>
          <w:szCs w:val="24"/>
        </w:rPr>
        <w:t xml:space="preserve">uygulanmaya </w:t>
      </w:r>
      <w:r w:rsidR="002F78B6" w:rsidRPr="00A57F8F">
        <w:rPr>
          <w:rFonts w:cs="Arial"/>
          <w:szCs w:val="24"/>
        </w:rPr>
        <w:t>devam e</w:t>
      </w:r>
      <w:r>
        <w:rPr>
          <w:rFonts w:cs="Arial"/>
          <w:szCs w:val="24"/>
        </w:rPr>
        <w:t>deceğini temin etmesi gerekmektedir</w:t>
      </w:r>
      <w:r w:rsidR="002F78B6" w:rsidRPr="00A57F8F">
        <w:rPr>
          <w:rFonts w:cs="Arial"/>
          <w:szCs w:val="24"/>
        </w:rPr>
        <w:t xml:space="preserve"> (bkz. Bölüm 4.2).</w:t>
      </w:r>
    </w:p>
    <w:p w14:paraId="5106B4FA" w14:textId="73892255" w:rsidR="00D26894" w:rsidRDefault="00EC07B5" w:rsidP="00C16328">
      <w:pPr>
        <w:pStyle w:val="Balk1"/>
        <w:numPr>
          <w:ilvl w:val="1"/>
          <w:numId w:val="9"/>
        </w:numPr>
      </w:pPr>
      <w:r>
        <w:t xml:space="preserve"> </w:t>
      </w:r>
      <w:r w:rsidR="00E344E3" w:rsidRPr="00A57F8F">
        <w:t>Sözleşme</w:t>
      </w:r>
      <w:r>
        <w:t>sel</w:t>
      </w:r>
      <w:r w:rsidR="00E344E3" w:rsidRPr="00A57F8F">
        <w:t xml:space="preserve"> ilişki</w:t>
      </w:r>
    </w:p>
    <w:p w14:paraId="01EF8DD8" w14:textId="3BCAB8BA" w:rsidR="00E344E3" w:rsidRPr="00A57F8F" w:rsidRDefault="00CF2357" w:rsidP="00CF2357">
      <w:r w:rsidRPr="00A57F8F">
        <w:t xml:space="preserve"> </w:t>
      </w:r>
      <w:r w:rsidR="00E344E3" w:rsidRPr="00A57F8F">
        <w:t xml:space="preserve">“CAMD MDR/IVDR Geçiş Alt Grubu: SSS – MDR Geçiş hükümleri S. 17” bölümünde belirtildiği </w:t>
      </w:r>
      <w:r w:rsidR="00D26894">
        <w:t>üzere</w:t>
      </w:r>
      <w:r w:rsidR="00E344E3" w:rsidRPr="00A57F8F">
        <w:t xml:space="preserve"> onaylanmış kuruluşların</w:t>
      </w:r>
      <w:r w:rsidR="00DF3C14">
        <w:t>,</w:t>
      </w:r>
      <w:r w:rsidR="00E344E3" w:rsidRPr="00A57F8F">
        <w:t xml:space="preserve"> Direktifler kapsamındaki önceki hak ve yükümlülüklerin MDR</w:t>
      </w:r>
      <w:r w:rsidR="00947C23">
        <w:t>’nin</w:t>
      </w:r>
      <w:r w:rsidR="00E344E3" w:rsidRPr="00A57F8F">
        <w:t xml:space="preserve"> </w:t>
      </w:r>
      <w:r w:rsidR="00D26894">
        <w:t>yürürlük</w:t>
      </w:r>
      <w:r w:rsidR="00D26894" w:rsidRPr="00A57F8F">
        <w:t xml:space="preserve"> </w:t>
      </w:r>
      <w:r w:rsidR="00E344E3" w:rsidRPr="00A57F8F">
        <w:t>tarihinden sonra da geçerli kalmasını sağlamaları gerek</w:t>
      </w:r>
      <w:r w:rsidR="00D26894">
        <w:t>mektedir</w:t>
      </w:r>
      <w:r w:rsidR="00E344E3" w:rsidRPr="00A57F8F">
        <w:t>. Bunun sözleşmeye dayalı olarak yapılması gerek</w:t>
      </w:r>
      <w:r w:rsidR="0077485C">
        <w:t>mektedir</w:t>
      </w:r>
      <w:r w:rsidR="00E344E3" w:rsidRPr="00A57F8F">
        <w:t xml:space="preserve">. Özellikle, onaylanmış kuruluş ile imalatçı arasındaki mevcut sözleşmeler; geçiş döneminde (yani 26 Mayıs 2024'e kadar) onaylanmış kuruluş tarafından gerçekleştirilecek </w:t>
      </w:r>
      <w:r w:rsidR="0077485C">
        <w:t>‘</w:t>
      </w:r>
      <w:r w:rsidR="00E344E3" w:rsidRPr="00A57F8F">
        <w:t>kalıt cihazlar</w:t>
      </w:r>
      <w:r w:rsidR="0077485C">
        <w:t>’</w:t>
      </w:r>
      <w:r w:rsidR="00E344E3" w:rsidRPr="00A57F8F">
        <w:t xml:space="preserve"> ile ilgili gözetim </w:t>
      </w:r>
      <w:r w:rsidR="0035632A">
        <w:t xml:space="preserve">ve denetim </w:t>
      </w:r>
      <w:r w:rsidR="00E344E3" w:rsidRPr="00A57F8F">
        <w:t xml:space="preserve">faaliyetlerini ve ayrıca </w:t>
      </w:r>
      <w:r w:rsidR="0077485C" w:rsidRPr="00A57F8F">
        <w:t>ilgili sertifikaları</w:t>
      </w:r>
      <w:r w:rsidR="0077485C">
        <w:t xml:space="preserve"> </w:t>
      </w:r>
      <w:r w:rsidR="00E344E3" w:rsidRPr="00A57F8F">
        <w:t>askıya alma</w:t>
      </w:r>
      <w:r w:rsidR="0077485C">
        <w:t>yı</w:t>
      </w:r>
      <w:r w:rsidR="00E344E3" w:rsidRPr="00A57F8F">
        <w:t>, kısıtlama</w:t>
      </w:r>
      <w:r w:rsidR="0077485C">
        <w:t>yı</w:t>
      </w:r>
      <w:r w:rsidR="00E344E3" w:rsidRPr="00A57F8F">
        <w:t xml:space="preserve"> veya geri çekmeyi kapsa</w:t>
      </w:r>
      <w:r w:rsidR="00372EA1">
        <w:t>malıdı</w:t>
      </w:r>
      <w:r w:rsidR="00E344E3" w:rsidRPr="00A57F8F">
        <w:t>r.</w:t>
      </w:r>
    </w:p>
    <w:p w14:paraId="0B7870D1" w14:textId="6B1D8FC2" w:rsidR="00E344E3" w:rsidRPr="003F6459" w:rsidRDefault="00E344E3" w:rsidP="00546694">
      <w:pPr>
        <w:pStyle w:val="Balk1"/>
        <w:numPr>
          <w:ilvl w:val="1"/>
          <w:numId w:val="9"/>
        </w:numPr>
      </w:pPr>
      <w:r w:rsidRPr="003F6459">
        <w:t>Kalite Yönetim Sistemi dokümantasyon</w:t>
      </w:r>
      <w:r w:rsidR="00B61DA6" w:rsidRPr="003F6459">
        <w:t>u</w:t>
      </w:r>
      <w:r w:rsidRPr="003F6459">
        <w:t xml:space="preserve"> incelemesi</w:t>
      </w:r>
    </w:p>
    <w:p w14:paraId="0549D727" w14:textId="20C6C24E" w:rsidR="00E344E3" w:rsidRPr="00A57F8F" w:rsidRDefault="00D053A8" w:rsidP="00CF2357">
      <w:r w:rsidRPr="00A57F8F">
        <w:t>Onaylanmış</w:t>
      </w:r>
      <w:r>
        <w:t xml:space="preserve"> kuruluşun,</w:t>
      </w:r>
      <w:r w:rsidRPr="00A57F8F">
        <w:t xml:space="preserve"> </w:t>
      </w:r>
      <w:r>
        <w:t xml:space="preserve">MDR </w:t>
      </w:r>
      <w:r w:rsidR="00E344E3" w:rsidRPr="00A57F8F">
        <w:t>Madde 120(3)</w:t>
      </w:r>
      <w:r>
        <w:t>’ten faydalanan</w:t>
      </w:r>
      <w:r w:rsidR="00E344E3" w:rsidRPr="00A57F8F">
        <w:t xml:space="preserve"> </w:t>
      </w:r>
      <w:r w:rsidR="00B61DA6" w:rsidRPr="00A57F8F">
        <w:t>imalatçılar</w:t>
      </w:r>
      <w:r>
        <w:t xml:space="preserve">la ilgili olarak </w:t>
      </w:r>
      <w:r w:rsidR="00E344E3" w:rsidRPr="00A57F8F">
        <w:t>aşağıdakileri doğrulaması gerek</w:t>
      </w:r>
      <w:r>
        <w:t>mektedir</w:t>
      </w:r>
      <w:r w:rsidR="00E344E3" w:rsidRPr="00A57F8F">
        <w:t>:</w:t>
      </w:r>
    </w:p>
    <w:p w14:paraId="576A185D" w14:textId="24441A7D" w:rsidR="00B61DA6" w:rsidRPr="00A57F8F" w:rsidRDefault="00B61DA6" w:rsidP="00556ED4">
      <w:pPr>
        <w:pStyle w:val="ListeParagraf"/>
        <w:numPr>
          <w:ilvl w:val="0"/>
          <w:numId w:val="12"/>
        </w:numPr>
        <w:spacing w:after="0" w:line="240" w:lineRule="auto"/>
        <w:rPr>
          <w:rFonts w:cs="Arial"/>
          <w:szCs w:val="24"/>
        </w:rPr>
      </w:pPr>
      <w:r w:rsidRPr="00A57F8F">
        <w:rPr>
          <w:rFonts w:cs="Arial"/>
          <w:szCs w:val="24"/>
        </w:rPr>
        <w:t>MDD veya AIMDD sertifikaları kapsamındaki cihazların kapsamının devam edip etmediği</w:t>
      </w:r>
      <w:r w:rsidR="00BD323B">
        <w:rPr>
          <w:rFonts w:cs="Arial"/>
          <w:szCs w:val="24"/>
        </w:rPr>
        <w:t>ni</w:t>
      </w:r>
      <w:r w:rsidRPr="00A57F8F">
        <w:rPr>
          <w:rFonts w:cs="Arial"/>
          <w:szCs w:val="24"/>
        </w:rPr>
        <w:t xml:space="preserve"> veya </w:t>
      </w:r>
      <w:r w:rsidR="00C902EA">
        <w:rPr>
          <w:rFonts w:cs="Arial"/>
          <w:szCs w:val="24"/>
        </w:rPr>
        <w:t xml:space="preserve">devam ettiği durumda </w:t>
      </w:r>
      <w:r w:rsidRPr="00A57F8F">
        <w:rPr>
          <w:rFonts w:cs="Arial"/>
          <w:szCs w:val="24"/>
        </w:rPr>
        <w:t>cihazların</w:t>
      </w:r>
      <w:r w:rsidR="00A27624">
        <w:rPr>
          <w:rFonts w:cs="Arial"/>
          <w:szCs w:val="24"/>
        </w:rPr>
        <w:t xml:space="preserve"> hangilerinin</w:t>
      </w:r>
      <w:r w:rsidRPr="00A57F8F">
        <w:rPr>
          <w:rFonts w:cs="Arial"/>
          <w:szCs w:val="24"/>
        </w:rPr>
        <w:t xml:space="preserve"> üretimden kaldırıldığı</w:t>
      </w:r>
      <w:r w:rsidR="00A27624">
        <w:rPr>
          <w:rFonts w:cs="Arial"/>
          <w:szCs w:val="24"/>
        </w:rPr>
        <w:t xml:space="preserve"> veya kaldırılmadığı</w:t>
      </w:r>
      <w:r w:rsidR="00BD323B">
        <w:rPr>
          <w:rFonts w:cs="Arial"/>
          <w:szCs w:val="24"/>
        </w:rPr>
        <w:t>nı</w:t>
      </w:r>
      <w:r w:rsidRPr="00A57F8F">
        <w:rPr>
          <w:rFonts w:cs="Arial"/>
          <w:szCs w:val="24"/>
        </w:rPr>
        <w:t xml:space="preserve">. </w:t>
      </w:r>
      <w:r w:rsidR="00C902EA">
        <w:rPr>
          <w:rFonts w:cs="Arial"/>
          <w:szCs w:val="24"/>
        </w:rPr>
        <w:t>B</w:t>
      </w:r>
      <w:r w:rsidR="006D116B">
        <w:rPr>
          <w:rFonts w:cs="Arial"/>
          <w:szCs w:val="24"/>
        </w:rPr>
        <w:t>unu yapmak için</w:t>
      </w:r>
      <w:r w:rsidR="00C902EA">
        <w:rPr>
          <w:rFonts w:cs="Arial"/>
          <w:szCs w:val="24"/>
        </w:rPr>
        <w:t xml:space="preserve"> onaylanmış kuruluşların, i</w:t>
      </w:r>
      <w:r w:rsidRPr="00A57F8F">
        <w:rPr>
          <w:rFonts w:cs="Arial"/>
          <w:szCs w:val="24"/>
        </w:rPr>
        <w:t>malatçının MDR uyumluluğu için geçiş planını dikkate alma</w:t>
      </w:r>
      <w:r w:rsidR="00C902EA">
        <w:rPr>
          <w:rFonts w:cs="Arial"/>
          <w:szCs w:val="24"/>
        </w:rPr>
        <w:t>sı önemlidir</w:t>
      </w:r>
      <w:r w:rsidRPr="00A57F8F">
        <w:rPr>
          <w:rFonts w:cs="Arial"/>
          <w:szCs w:val="24"/>
        </w:rPr>
        <w:t xml:space="preserve">. </w:t>
      </w:r>
    </w:p>
    <w:p w14:paraId="15569BCD" w14:textId="76B2EB21" w:rsidR="00B61DA6" w:rsidRPr="00A57F8F" w:rsidRDefault="00B61DA6" w:rsidP="00556ED4">
      <w:pPr>
        <w:pStyle w:val="ListeParagraf"/>
        <w:numPr>
          <w:ilvl w:val="0"/>
          <w:numId w:val="12"/>
        </w:numPr>
        <w:spacing w:after="0" w:line="240" w:lineRule="auto"/>
        <w:rPr>
          <w:rFonts w:cs="Arial"/>
          <w:szCs w:val="24"/>
        </w:rPr>
      </w:pPr>
      <w:r w:rsidRPr="00A57F8F">
        <w:rPr>
          <w:rFonts w:cs="Arial"/>
          <w:szCs w:val="24"/>
        </w:rPr>
        <w:t>İmalatçı</w:t>
      </w:r>
      <w:r w:rsidR="00A27624">
        <w:rPr>
          <w:rFonts w:cs="Arial"/>
          <w:szCs w:val="24"/>
        </w:rPr>
        <w:t>nın</w:t>
      </w:r>
      <w:r w:rsidRPr="00A57F8F">
        <w:rPr>
          <w:rFonts w:cs="Arial"/>
          <w:szCs w:val="24"/>
        </w:rPr>
        <w:t>; kalite yönetim sistemini, MDCG 2020-3'ün (</w:t>
      </w:r>
      <w:r w:rsidR="00A27624">
        <w:rPr>
          <w:rFonts w:cs="Arial"/>
          <w:szCs w:val="24"/>
        </w:rPr>
        <w:t>“</w:t>
      </w:r>
      <w:r w:rsidRPr="00A57F8F">
        <w:rPr>
          <w:rFonts w:cs="Arial"/>
          <w:szCs w:val="24"/>
        </w:rPr>
        <w:t>rejim değişikliği</w:t>
      </w:r>
      <w:r w:rsidR="00A27624">
        <w:rPr>
          <w:rFonts w:cs="Arial"/>
          <w:szCs w:val="24"/>
        </w:rPr>
        <w:t>”</w:t>
      </w:r>
      <w:r w:rsidRPr="00A57F8F">
        <w:rPr>
          <w:rFonts w:cs="Arial"/>
          <w:szCs w:val="24"/>
        </w:rPr>
        <w:t xml:space="preserve">) içeriğini dikkate alarak, önemli değişikliklerle ilgili MDR Madde 120(3) gerekliliklerine </w:t>
      </w:r>
      <w:r w:rsidR="00A27624">
        <w:rPr>
          <w:rFonts w:cs="Arial"/>
          <w:szCs w:val="24"/>
        </w:rPr>
        <w:t>uygun olarak</w:t>
      </w:r>
      <w:r w:rsidRPr="00A57F8F">
        <w:rPr>
          <w:rFonts w:cs="Arial"/>
          <w:szCs w:val="24"/>
        </w:rPr>
        <w:t xml:space="preserve"> </w:t>
      </w:r>
      <w:r w:rsidR="00A27624">
        <w:rPr>
          <w:rFonts w:cs="Arial"/>
          <w:szCs w:val="24"/>
        </w:rPr>
        <w:t>uyarlayıp uyarlamadığını</w:t>
      </w:r>
      <w:r w:rsidRPr="00A57F8F">
        <w:rPr>
          <w:rFonts w:cs="Arial"/>
          <w:szCs w:val="24"/>
        </w:rPr>
        <w:t>.</w:t>
      </w:r>
    </w:p>
    <w:p w14:paraId="02DA892D" w14:textId="33B54F8A" w:rsidR="00C76FF4" w:rsidRDefault="00B61DA6" w:rsidP="00C76FF4">
      <w:pPr>
        <w:pStyle w:val="ListeParagraf"/>
        <w:numPr>
          <w:ilvl w:val="0"/>
          <w:numId w:val="12"/>
        </w:numPr>
        <w:spacing w:line="240" w:lineRule="auto"/>
        <w:ind w:left="714" w:hanging="357"/>
        <w:contextualSpacing w:val="0"/>
        <w:rPr>
          <w:rFonts w:cs="Arial"/>
          <w:szCs w:val="24"/>
        </w:rPr>
      </w:pPr>
      <w:r w:rsidRPr="00A57F8F">
        <w:rPr>
          <w:rFonts w:cs="Arial"/>
          <w:szCs w:val="24"/>
        </w:rPr>
        <w:t>İmalatçının piyasaya arz sonrası gözetim, piyasa gözetimi</w:t>
      </w:r>
      <w:r w:rsidR="00BD323B">
        <w:rPr>
          <w:rFonts w:cs="Arial"/>
          <w:szCs w:val="24"/>
        </w:rPr>
        <w:t xml:space="preserve"> ve denetimi</w:t>
      </w:r>
      <w:r w:rsidRPr="00A57F8F">
        <w:rPr>
          <w:rFonts w:cs="Arial"/>
          <w:szCs w:val="24"/>
        </w:rPr>
        <w:t>, vijilans, iktisadi işletmecilerin ve cihazların kaydına ilişkin kalite yönetim sistemi</w:t>
      </w:r>
      <w:r w:rsidR="00907CBE">
        <w:rPr>
          <w:rFonts w:cs="Arial"/>
          <w:szCs w:val="24"/>
        </w:rPr>
        <w:t>nde</w:t>
      </w:r>
      <w:r w:rsidRPr="00A57F8F">
        <w:rPr>
          <w:rFonts w:cs="Arial"/>
          <w:szCs w:val="24"/>
        </w:rPr>
        <w:t xml:space="preserve"> gerekli </w:t>
      </w:r>
      <w:r w:rsidR="00A27624">
        <w:rPr>
          <w:rFonts w:cs="Arial"/>
          <w:szCs w:val="24"/>
        </w:rPr>
        <w:t>uyarlamaları</w:t>
      </w:r>
      <w:r w:rsidR="00A27624" w:rsidRPr="00A57F8F">
        <w:rPr>
          <w:rFonts w:cs="Arial"/>
          <w:szCs w:val="24"/>
        </w:rPr>
        <w:t xml:space="preserve"> </w:t>
      </w:r>
      <w:r w:rsidRPr="00A57F8F">
        <w:rPr>
          <w:rFonts w:cs="Arial"/>
          <w:szCs w:val="24"/>
        </w:rPr>
        <w:t>yap</w:t>
      </w:r>
      <w:r w:rsidR="00A27624">
        <w:rPr>
          <w:rFonts w:cs="Arial"/>
          <w:szCs w:val="24"/>
        </w:rPr>
        <w:t>mış olup olmadığını</w:t>
      </w:r>
      <w:r w:rsidRPr="00A57F8F">
        <w:rPr>
          <w:rFonts w:cs="Arial"/>
          <w:szCs w:val="24"/>
        </w:rPr>
        <w:t>. Bu, imalatçının piyasaya arz sonrası gözetim vb. prosedürlerini MDR doğrultusunda değiştirdiğinin (bkz. Bölüm 3) veya Direktiflerde</w:t>
      </w:r>
      <w:r w:rsidR="00907CBE">
        <w:rPr>
          <w:rFonts w:cs="Arial"/>
          <w:szCs w:val="24"/>
        </w:rPr>
        <w:t>kileri de kapsayan</w:t>
      </w:r>
      <w:r w:rsidRPr="00A57F8F">
        <w:rPr>
          <w:rFonts w:cs="Arial"/>
          <w:szCs w:val="24"/>
        </w:rPr>
        <w:t xml:space="preserve"> MDR gerekliliklerine uyum sağlamak için kalite yönetim sistemini tamamen değiştirdiğinin doğrulanmasıyla yapılabilir. </w:t>
      </w:r>
    </w:p>
    <w:p w14:paraId="57708605" w14:textId="56EA21B1" w:rsidR="00B61DA6" w:rsidRPr="00C76FF4" w:rsidRDefault="00B61DA6" w:rsidP="00C76FF4">
      <w:pPr>
        <w:pStyle w:val="ListeParagraf"/>
        <w:spacing w:after="0" w:line="240" w:lineRule="auto"/>
        <w:rPr>
          <w:rFonts w:cs="Arial"/>
          <w:szCs w:val="24"/>
        </w:rPr>
      </w:pPr>
      <w:r w:rsidRPr="00A57F8F">
        <w:t>Yeni piyasaya arz sonrası gözetim (PMS) gereklilikleri ile ilgili olarak:</w:t>
      </w:r>
    </w:p>
    <w:p w14:paraId="12D2457C" w14:textId="422F99A3" w:rsidR="00B61DA6" w:rsidRDefault="00A27624" w:rsidP="00294BFF">
      <w:pPr>
        <w:pStyle w:val="ListeParagraf"/>
        <w:numPr>
          <w:ilvl w:val="0"/>
          <w:numId w:val="2"/>
        </w:numPr>
        <w:spacing w:after="0" w:line="240" w:lineRule="auto"/>
        <w:rPr>
          <w:rFonts w:cs="Arial"/>
          <w:szCs w:val="24"/>
        </w:rPr>
      </w:pPr>
      <w:r w:rsidRPr="00A57F8F">
        <w:rPr>
          <w:rFonts w:cs="Arial"/>
          <w:szCs w:val="24"/>
        </w:rPr>
        <w:t>Risk</w:t>
      </w:r>
      <w:r w:rsidR="00B61DA6" w:rsidRPr="00A57F8F">
        <w:rPr>
          <w:rFonts w:cs="Arial"/>
          <w:szCs w:val="24"/>
        </w:rPr>
        <w:t xml:space="preserve"> yönetimi ve klinik veriler </w:t>
      </w:r>
      <w:r w:rsidR="00AE3665" w:rsidRPr="00A57F8F">
        <w:rPr>
          <w:rFonts w:cs="Arial"/>
          <w:szCs w:val="24"/>
        </w:rPr>
        <w:t>dâhil</w:t>
      </w:r>
      <w:r w:rsidR="00B61DA6" w:rsidRPr="00A57F8F">
        <w:rPr>
          <w:rFonts w:cs="Arial"/>
          <w:szCs w:val="24"/>
        </w:rPr>
        <w:t xml:space="preserve"> olmak üzere piyasaya arz sonrası gözetim ile ilgili tüm uygun süreçler</w:t>
      </w:r>
      <w:r w:rsidR="00E57672">
        <w:rPr>
          <w:rFonts w:cs="Arial"/>
          <w:szCs w:val="24"/>
        </w:rPr>
        <w:t>in</w:t>
      </w:r>
      <w:r>
        <w:rPr>
          <w:rFonts w:cs="Arial"/>
          <w:szCs w:val="24"/>
        </w:rPr>
        <w:t>,</w:t>
      </w:r>
      <w:r w:rsidR="00B61DA6" w:rsidRPr="00A57F8F">
        <w:rPr>
          <w:rFonts w:cs="Arial"/>
          <w:szCs w:val="24"/>
        </w:rPr>
        <w:t xml:space="preserve"> piyasaya arz sonrası gözetim planın</w:t>
      </w:r>
      <w:r>
        <w:rPr>
          <w:rFonts w:cs="Arial"/>
          <w:szCs w:val="24"/>
        </w:rPr>
        <w:t>ı</w:t>
      </w:r>
      <w:r w:rsidR="00B61DA6" w:rsidRPr="00A57F8F">
        <w:rPr>
          <w:rFonts w:cs="Arial"/>
          <w:szCs w:val="24"/>
        </w:rPr>
        <w:t xml:space="preserve"> besle</w:t>
      </w:r>
      <w:r w:rsidR="00EE063B">
        <w:rPr>
          <w:rFonts w:cs="Arial"/>
          <w:szCs w:val="24"/>
        </w:rPr>
        <w:t>yip beslemediği</w:t>
      </w:r>
      <w:r w:rsidR="00B61DA6" w:rsidRPr="00A57F8F">
        <w:rPr>
          <w:rFonts w:cs="Arial"/>
          <w:szCs w:val="24"/>
        </w:rPr>
        <w:t>,</w:t>
      </w:r>
    </w:p>
    <w:p w14:paraId="77A7CBA0" w14:textId="054D4D2F" w:rsidR="00E83672" w:rsidRPr="00A57F8F" w:rsidRDefault="00EE063B" w:rsidP="00294BFF">
      <w:pPr>
        <w:pStyle w:val="ListeParagraf"/>
        <w:numPr>
          <w:ilvl w:val="0"/>
          <w:numId w:val="2"/>
        </w:numPr>
        <w:spacing w:after="0" w:line="240" w:lineRule="auto"/>
        <w:rPr>
          <w:rFonts w:cs="Arial"/>
          <w:szCs w:val="24"/>
        </w:rPr>
      </w:pPr>
      <w:r>
        <w:rPr>
          <w:rFonts w:cs="Arial"/>
          <w:szCs w:val="24"/>
        </w:rPr>
        <w:t>T</w:t>
      </w:r>
      <w:r w:rsidR="00B61DA6" w:rsidRPr="00A57F8F">
        <w:rPr>
          <w:rFonts w:cs="Arial"/>
          <w:szCs w:val="24"/>
        </w:rPr>
        <w:t xml:space="preserve">üm piyasaya arz sonrası gözetim faaliyetlerinin </w:t>
      </w:r>
      <w:r w:rsidR="00A30343" w:rsidRPr="00A57F8F">
        <w:rPr>
          <w:rFonts w:cs="Arial"/>
          <w:szCs w:val="24"/>
        </w:rPr>
        <w:t>çıktı</w:t>
      </w:r>
      <w:r w:rsidR="00A30343">
        <w:rPr>
          <w:rFonts w:cs="Arial"/>
          <w:szCs w:val="24"/>
        </w:rPr>
        <w:t>sının</w:t>
      </w:r>
      <w:r>
        <w:rPr>
          <w:rFonts w:cs="Arial"/>
          <w:szCs w:val="24"/>
        </w:rPr>
        <w:t>, uygulanabilir olduğunda,</w:t>
      </w:r>
      <w:r w:rsidR="00A30343" w:rsidRPr="00A57F8F">
        <w:rPr>
          <w:rFonts w:cs="Arial"/>
          <w:szCs w:val="24"/>
        </w:rPr>
        <w:t xml:space="preserve"> </w:t>
      </w:r>
      <w:r w:rsidR="00B61DA6" w:rsidRPr="00A57F8F">
        <w:rPr>
          <w:rFonts w:cs="Arial"/>
          <w:szCs w:val="24"/>
        </w:rPr>
        <w:t>bir P</w:t>
      </w:r>
      <w:r w:rsidR="00A27624">
        <w:rPr>
          <w:rFonts w:cs="Arial"/>
          <w:szCs w:val="24"/>
        </w:rPr>
        <w:t>SUR</w:t>
      </w:r>
      <w:r w:rsidR="00B61DA6" w:rsidRPr="00A57F8F">
        <w:rPr>
          <w:rFonts w:cs="Arial"/>
          <w:szCs w:val="24"/>
        </w:rPr>
        <w:t>'</w:t>
      </w:r>
      <w:r w:rsidR="00A30343">
        <w:rPr>
          <w:rFonts w:cs="Arial"/>
          <w:szCs w:val="24"/>
        </w:rPr>
        <w:t>a</w:t>
      </w:r>
      <w:r w:rsidR="00B61DA6" w:rsidRPr="00A57F8F">
        <w:rPr>
          <w:rFonts w:cs="Arial"/>
          <w:szCs w:val="24"/>
        </w:rPr>
        <w:t xml:space="preserve"> </w:t>
      </w:r>
      <w:r w:rsidR="00A30343" w:rsidRPr="00A57F8F">
        <w:rPr>
          <w:rFonts w:cs="Arial"/>
          <w:szCs w:val="24"/>
        </w:rPr>
        <w:t>dâhil</w:t>
      </w:r>
      <w:r w:rsidR="00B61DA6" w:rsidRPr="00A57F8F">
        <w:rPr>
          <w:rFonts w:cs="Arial"/>
          <w:szCs w:val="24"/>
        </w:rPr>
        <w:t xml:space="preserve"> </w:t>
      </w:r>
      <w:r w:rsidR="00A30343" w:rsidRPr="00A57F8F">
        <w:rPr>
          <w:rFonts w:cs="Arial"/>
          <w:szCs w:val="24"/>
        </w:rPr>
        <w:t>edil</w:t>
      </w:r>
      <w:r>
        <w:rPr>
          <w:rFonts w:cs="Arial"/>
          <w:szCs w:val="24"/>
        </w:rPr>
        <w:t>ip edilmediği</w:t>
      </w:r>
      <w:r w:rsidR="00A30343">
        <w:rPr>
          <w:rFonts w:cs="Arial"/>
          <w:szCs w:val="24"/>
        </w:rPr>
        <w:t xml:space="preserve"> </w:t>
      </w:r>
      <w:r w:rsidR="00AD4F6A">
        <w:rPr>
          <w:rFonts w:cs="Arial"/>
          <w:szCs w:val="24"/>
        </w:rPr>
        <w:t>ve</w:t>
      </w:r>
      <w:r w:rsidR="003E3434">
        <w:rPr>
          <w:rFonts w:cs="Arial"/>
          <w:szCs w:val="24"/>
        </w:rPr>
        <w:t xml:space="preserve"> yansıtıl</w:t>
      </w:r>
      <w:r>
        <w:rPr>
          <w:rFonts w:cs="Arial"/>
          <w:szCs w:val="24"/>
        </w:rPr>
        <w:t>ıp yansıtılmadığı</w:t>
      </w:r>
      <w:r w:rsidR="003E3434">
        <w:rPr>
          <w:rFonts w:cs="Arial"/>
          <w:szCs w:val="24"/>
        </w:rPr>
        <w:t xml:space="preserve"> ve</w:t>
      </w:r>
      <w:r w:rsidR="00AD4F6A">
        <w:rPr>
          <w:rFonts w:cs="Arial"/>
          <w:szCs w:val="24"/>
        </w:rPr>
        <w:t xml:space="preserve"> PSUR</w:t>
      </w:r>
      <w:r>
        <w:rPr>
          <w:rFonts w:cs="Arial"/>
          <w:szCs w:val="24"/>
        </w:rPr>
        <w:t xml:space="preserve"> içerisinde PSUR</w:t>
      </w:r>
      <w:r w:rsidR="00AD4F6A">
        <w:rPr>
          <w:rFonts w:cs="Arial"/>
          <w:szCs w:val="24"/>
        </w:rPr>
        <w:t xml:space="preserve"> güncelleme döngüsünün </w:t>
      </w:r>
      <w:r w:rsidR="00F63116">
        <w:rPr>
          <w:rFonts w:cs="Arial"/>
          <w:szCs w:val="24"/>
        </w:rPr>
        <w:t>uygun ol</w:t>
      </w:r>
      <w:r w:rsidR="004C135D">
        <w:rPr>
          <w:rFonts w:cs="Arial"/>
          <w:szCs w:val="24"/>
        </w:rPr>
        <w:t>duğunun</w:t>
      </w:r>
      <w:r w:rsidR="00F63116">
        <w:rPr>
          <w:rFonts w:cs="Arial"/>
          <w:szCs w:val="24"/>
        </w:rPr>
        <w:t xml:space="preserve"> ve </w:t>
      </w:r>
      <w:r w:rsidR="00AD4F6A" w:rsidRPr="00A57F8F">
        <w:rPr>
          <w:rFonts w:cs="Arial"/>
          <w:szCs w:val="24"/>
        </w:rPr>
        <w:t>MDR Madde 86'da tanımlandığı gibi</w:t>
      </w:r>
      <w:r w:rsidR="00AD4F6A">
        <w:rPr>
          <w:rFonts w:cs="Arial"/>
          <w:szCs w:val="24"/>
        </w:rPr>
        <w:t xml:space="preserve"> mevcut risk sınıfına göre</w:t>
      </w:r>
      <w:r w:rsidR="002C647B">
        <w:rPr>
          <w:rFonts w:cs="Arial"/>
          <w:szCs w:val="24"/>
        </w:rPr>
        <w:t xml:space="preserve"> </w:t>
      </w:r>
      <w:r w:rsidR="00F63116">
        <w:rPr>
          <w:rFonts w:cs="Arial"/>
          <w:szCs w:val="24"/>
        </w:rPr>
        <w:t>ol</w:t>
      </w:r>
      <w:r w:rsidR="004C135D">
        <w:rPr>
          <w:rFonts w:cs="Arial"/>
          <w:szCs w:val="24"/>
        </w:rPr>
        <w:t>duğunun içerilip içerilmediği ve yansıtılıp yansıtılmadığı</w:t>
      </w:r>
      <w:r w:rsidR="00E83672" w:rsidRPr="00A57F8F">
        <w:rPr>
          <w:rFonts w:cs="Arial"/>
          <w:szCs w:val="24"/>
        </w:rPr>
        <w:t>.</w:t>
      </w:r>
      <w:r w:rsidR="00F63116">
        <w:rPr>
          <w:rFonts w:cs="Arial"/>
          <w:szCs w:val="24"/>
        </w:rPr>
        <w:t xml:space="preserve"> </w:t>
      </w:r>
    </w:p>
    <w:p w14:paraId="788D968D" w14:textId="0196B575" w:rsidR="00E83672" w:rsidRPr="00027238" w:rsidRDefault="002C647B" w:rsidP="00C16328">
      <w:pPr>
        <w:pStyle w:val="Balk1"/>
        <w:numPr>
          <w:ilvl w:val="1"/>
          <w:numId w:val="9"/>
        </w:numPr>
      </w:pPr>
      <w:r>
        <w:t xml:space="preserve"> </w:t>
      </w:r>
      <w:r w:rsidR="00E83672" w:rsidRPr="00027238">
        <w:t>Denetim faaliyetleri</w:t>
      </w:r>
    </w:p>
    <w:p w14:paraId="6B484F47" w14:textId="462B485E" w:rsidR="00AB1537" w:rsidRPr="00A57F8F" w:rsidRDefault="00E83672" w:rsidP="00CF2357">
      <w:r w:rsidRPr="00A57F8F">
        <w:t xml:space="preserve">Dokümantasyon incelemesinin </w:t>
      </w:r>
      <w:r w:rsidR="002C647B" w:rsidRPr="00A57F8F">
        <w:t xml:space="preserve">(Bölüm 4.3) </w:t>
      </w:r>
      <w:r w:rsidR="002C647B">
        <w:t>çıktılarına</w:t>
      </w:r>
      <w:r w:rsidR="002C647B" w:rsidRPr="00A57F8F">
        <w:t xml:space="preserve"> </w:t>
      </w:r>
      <w:r w:rsidRPr="00A57F8F">
        <w:t xml:space="preserve">dayalı olarak, onaylanmış kuruluşun </w:t>
      </w:r>
      <w:r w:rsidR="006D454D">
        <w:t>münferit</w:t>
      </w:r>
      <w:r w:rsidR="006D454D" w:rsidRPr="00A57F8F">
        <w:t xml:space="preserve"> </w:t>
      </w:r>
      <w:r w:rsidRPr="00A57F8F">
        <w:t xml:space="preserve">denetimleri (kapsam(lar), </w:t>
      </w:r>
      <w:r w:rsidR="002C647B">
        <w:t>hedefler</w:t>
      </w:r>
      <w:r w:rsidRPr="00A57F8F">
        <w:t>, sıra) ve uygun</w:t>
      </w:r>
      <w:r w:rsidR="002C647B">
        <w:t xml:space="preserve"> olduğu hallerde</w:t>
      </w:r>
      <w:r w:rsidRPr="00A57F8F">
        <w:t xml:space="preserve"> habersiz denetimler de </w:t>
      </w:r>
      <w:r w:rsidR="00AB1537" w:rsidRPr="00A57F8F">
        <w:t>dâhil</w:t>
      </w:r>
      <w:r w:rsidRPr="00A57F8F">
        <w:t xml:space="preserve"> olmak üzere ilgili denetim faaliyetlerini tanımlaya</w:t>
      </w:r>
      <w:r w:rsidR="00F80058">
        <w:t>rak</w:t>
      </w:r>
      <w:r w:rsidRPr="00A57F8F">
        <w:t xml:space="preserve"> denetim programını aya</w:t>
      </w:r>
      <w:r w:rsidR="00AB1537" w:rsidRPr="00A57F8F">
        <w:t>rlaması gerek</w:t>
      </w:r>
      <w:r w:rsidR="002C647B">
        <w:t>mektedir</w:t>
      </w:r>
      <w:r w:rsidR="00AB1537" w:rsidRPr="00A57F8F">
        <w:t>.</w:t>
      </w:r>
      <w:r w:rsidR="00F80058">
        <w:t xml:space="preserve"> Gözetimin bir parçası olarak, onaylanmış kuruluşlar teknik dokümantasyondaki kanıtları gözden geçirecektir. </w:t>
      </w:r>
    </w:p>
    <w:p w14:paraId="15403304" w14:textId="05630163" w:rsidR="00AB1537" w:rsidRPr="00A57F8F" w:rsidRDefault="005728E2" w:rsidP="00CF2357">
      <w:r>
        <w:t>MDR Madde 120(3)'ü</w:t>
      </w:r>
      <w:r w:rsidRPr="00A57F8F">
        <w:t>n</w:t>
      </w:r>
      <w:r>
        <w:t xml:space="preserve"> b</w:t>
      </w:r>
      <w:r w:rsidR="00F80058">
        <w:t xml:space="preserve">elirli </w:t>
      </w:r>
      <w:r w:rsidR="00AB1537" w:rsidRPr="00A57F8F">
        <w:t>MDR hükümlerinin</w:t>
      </w:r>
      <w:r w:rsidR="002C647B">
        <w:t xml:space="preserve"> ‘</w:t>
      </w:r>
      <w:r w:rsidR="00AB1537" w:rsidRPr="00A57F8F">
        <w:t>kalıt cihazlar</w:t>
      </w:r>
      <w:r w:rsidR="00936BF5">
        <w:t>a</w:t>
      </w:r>
      <w:r w:rsidR="002C647B">
        <w:t>’</w:t>
      </w:r>
      <w:r w:rsidR="00AB1537" w:rsidRPr="00A57F8F">
        <w:t xml:space="preserve"> </w:t>
      </w:r>
      <w:r w:rsidR="00936BF5">
        <w:t>hâlihazırda</w:t>
      </w:r>
      <w:r w:rsidR="002C647B">
        <w:t xml:space="preserve"> </w:t>
      </w:r>
      <w:r>
        <w:t>uygulandığına</w:t>
      </w:r>
      <w:r w:rsidR="00AB1537" w:rsidRPr="00A57F8F">
        <w:t xml:space="preserve"> ilişkin genel </w:t>
      </w:r>
      <w:r w:rsidR="002C647B">
        <w:t>gayesi</w:t>
      </w:r>
      <w:r w:rsidR="002C647B" w:rsidRPr="00A57F8F">
        <w:t xml:space="preserve"> </w:t>
      </w:r>
      <w:r w:rsidR="00AB1537" w:rsidRPr="00A57F8F">
        <w:t xml:space="preserve">dikkate alındığında; onaylanmış kuruluşlar tarafından gerçekleştirilecek denetim faaliyetleri, </w:t>
      </w:r>
      <w:r>
        <w:t xml:space="preserve">bu </w:t>
      </w:r>
      <w:r w:rsidR="00AB1537" w:rsidRPr="00A57F8F">
        <w:t>yeni hükümlere odaklanmalıdır.</w:t>
      </w:r>
      <w:r>
        <w:t xml:space="preserve"> </w:t>
      </w:r>
      <w:r w:rsidRPr="005728E2">
        <w:t>Bu bağlamda, onaylanmış kuruluşlar MDD/AIMDD ve MDR kapsamındaki gözetim faaliyetlerini anlamlı bir şekilde birleştirmelidir (bkz. Bölüm 5).</w:t>
      </w:r>
      <w:r>
        <w:t xml:space="preserve"> </w:t>
      </w:r>
    </w:p>
    <w:p w14:paraId="389B42F1" w14:textId="45B52899" w:rsidR="00B261DA" w:rsidRDefault="005D6CF0" w:rsidP="00CF2357">
      <w:r w:rsidRPr="00A57F8F">
        <w:t>PSUR'l</w:t>
      </w:r>
      <w:r>
        <w:t>a</w:t>
      </w:r>
      <w:r w:rsidRPr="00A57F8F">
        <w:t xml:space="preserve">r </w:t>
      </w:r>
      <w:r w:rsidR="00217502" w:rsidRPr="00A57F8F">
        <w:t>ve gerekli diğer yeni unsurlar dikkate alındığında; imalatçılar</w:t>
      </w:r>
      <w:r w:rsidR="00B261DA" w:rsidRPr="00B261DA">
        <w:t xml:space="preserve"> kalite yönetim sis</w:t>
      </w:r>
      <w:r w:rsidR="00B261DA">
        <w:t>teminin uygun şekilde uyarlandığının</w:t>
      </w:r>
      <w:r w:rsidR="00B261DA" w:rsidRPr="00B261DA">
        <w:t xml:space="preserve"> ve MDD veya AIMDD kapsamında </w:t>
      </w:r>
      <w:r w:rsidR="00B261DA">
        <w:t>düzenlenen</w:t>
      </w:r>
      <w:r w:rsidR="00B261DA" w:rsidRPr="00B261DA">
        <w:t xml:space="preserve"> sertifika(lar) için</w:t>
      </w:r>
      <w:r w:rsidR="00B261DA">
        <w:t xml:space="preserve"> uyumlu olmaya devam ettiğinin onaylanmış kuruluş tarafından doğrulamasın</w:t>
      </w:r>
      <w:r w:rsidR="009D2002">
        <w:t>a imkân</w:t>
      </w:r>
      <w:r w:rsidR="00B261DA">
        <w:t xml:space="preserve"> sağlamak </w:t>
      </w:r>
      <w:r w:rsidR="001C29E5">
        <w:t>üzere</w:t>
      </w:r>
      <w:r w:rsidR="00B261DA">
        <w:t xml:space="preserve"> </w:t>
      </w:r>
      <w:r w:rsidR="00B261DA" w:rsidRPr="00B261DA">
        <w:t>gözetim denetimleri çerçe</w:t>
      </w:r>
      <w:r w:rsidR="00B261DA">
        <w:t xml:space="preserve">vesinde onaylanmış kuruluşlarına </w:t>
      </w:r>
      <w:r w:rsidR="00B261DA" w:rsidRPr="00A57F8F">
        <w:t>PSUR'l</w:t>
      </w:r>
      <w:r w:rsidR="001C29E5">
        <w:t>a</w:t>
      </w:r>
      <w:r w:rsidR="00B261DA" w:rsidRPr="00A57F8F">
        <w:t>r</w:t>
      </w:r>
      <w:r w:rsidR="00096180">
        <w:t>ı</w:t>
      </w:r>
      <w:r w:rsidR="00B261DA" w:rsidRPr="00A57F8F">
        <w:t xml:space="preserve"> </w:t>
      </w:r>
      <w:r w:rsidR="00B261DA" w:rsidRPr="00B261DA">
        <w:t>(EUDAMED dışında), PMS planlar</w:t>
      </w:r>
      <w:r w:rsidR="00B261DA">
        <w:t>ı</w:t>
      </w:r>
      <w:r w:rsidR="00096180">
        <w:t>nı</w:t>
      </w:r>
      <w:r w:rsidR="00B261DA">
        <w:t xml:space="preserve"> ve PMS raporlarını </w:t>
      </w:r>
      <w:r w:rsidR="00096180">
        <w:t>sunmalıdır</w:t>
      </w:r>
      <w:r w:rsidR="00B261DA">
        <w:t>.</w:t>
      </w:r>
    </w:p>
    <w:p w14:paraId="67663447" w14:textId="6DA88C49" w:rsidR="00E1557D" w:rsidRPr="00A57F8F" w:rsidRDefault="00E1557D" w:rsidP="00CF2357">
      <w:r w:rsidRPr="00A57F8F">
        <w:t xml:space="preserve">Denetim programına dayalı olarak, </w:t>
      </w:r>
      <w:r w:rsidR="00E64A15">
        <w:t>münferit</w:t>
      </w:r>
      <w:r w:rsidR="00B261DA" w:rsidRPr="00A57F8F">
        <w:t xml:space="preserve"> </w:t>
      </w:r>
      <w:r w:rsidRPr="00A57F8F">
        <w:t>denetim planları hazırlan</w:t>
      </w:r>
      <w:r w:rsidR="000A05D6">
        <w:t>ır</w:t>
      </w:r>
      <w:r w:rsidRPr="00A57F8F">
        <w:t xml:space="preserve"> (</w:t>
      </w:r>
      <w:r w:rsidR="000A05D6">
        <w:t>farklı</w:t>
      </w:r>
      <w:r w:rsidR="00B261DA" w:rsidRPr="00A57F8F">
        <w:t xml:space="preserve"> </w:t>
      </w:r>
      <w:r w:rsidRPr="00A57F8F">
        <w:t xml:space="preserve">senaryolar için bölüm 5.1'e bakınız) ve denetimler buna göre </w:t>
      </w:r>
      <w:r w:rsidR="00B261DA">
        <w:t>gerçekleştirilir</w:t>
      </w:r>
      <w:r w:rsidRPr="00A57F8F">
        <w:t xml:space="preserve">. </w:t>
      </w:r>
      <w:r w:rsidR="000A05D6">
        <w:t>Yeni PMS gereklilikleri ile</w:t>
      </w:r>
      <w:r w:rsidR="000A05D6" w:rsidRPr="00A57F8F">
        <w:t xml:space="preserve"> </w:t>
      </w:r>
      <w:r w:rsidRPr="00A57F8F">
        <w:t>ilgili olarak, onaylanmış kuruluşlar, denetim faaliyetleri bağlamında PSUR</w:t>
      </w:r>
      <w:r w:rsidR="000A05D6">
        <w:t xml:space="preserve"> dâhil olmak üzere PMS süreçlerini</w:t>
      </w:r>
      <w:r w:rsidRPr="00A57F8F">
        <w:t xml:space="preserve"> ve </w:t>
      </w:r>
      <w:r w:rsidR="00E64A15">
        <w:t>münferit</w:t>
      </w:r>
      <w:r w:rsidR="000A05D6">
        <w:t xml:space="preserve"> PMS planlarının, PMS raporlarının ve/veya</w:t>
      </w:r>
      <w:r w:rsidR="00B261DA" w:rsidRPr="00A57F8F">
        <w:t xml:space="preserve"> </w:t>
      </w:r>
      <w:r w:rsidRPr="00A57F8F">
        <w:t>PSUR</w:t>
      </w:r>
      <w:r w:rsidR="000A05D6">
        <w:t>’ların</w:t>
      </w:r>
      <w:r w:rsidRPr="00A57F8F">
        <w:t xml:space="preserve"> mevcudiyetini ve güncellemelerini doğrulamalı</w:t>
      </w:r>
      <w:r w:rsidR="000A05D6">
        <w:t xml:space="preserve"> ve dokümante etmelidir</w:t>
      </w:r>
      <w:r w:rsidRPr="00A57F8F">
        <w:t>.</w:t>
      </w:r>
    </w:p>
    <w:p w14:paraId="39399CD1" w14:textId="603F78E3" w:rsidR="00217502" w:rsidRPr="00A57F8F" w:rsidRDefault="00DB3DB7" w:rsidP="00CF2357">
      <w:r>
        <w:t>MDCG 2022-14 Görüş belgesi (3 numaralı eylem) uyarınca, s</w:t>
      </w:r>
      <w:r w:rsidR="00B261DA">
        <w:t xml:space="preserve">ınıf </w:t>
      </w:r>
      <w:r w:rsidR="009D6020" w:rsidRPr="00A57F8F">
        <w:t>IIa ve IIb</w:t>
      </w:r>
      <w:r w:rsidR="00646366">
        <w:t xml:space="preserve"> kapsamında</w:t>
      </w:r>
      <w:r>
        <w:t>ki</w:t>
      </w:r>
      <w:r w:rsidR="00646366">
        <w:t xml:space="preserve"> </w:t>
      </w:r>
      <w:r w:rsidR="009D6020" w:rsidRPr="00A57F8F">
        <w:t xml:space="preserve">MDD cihazları </w:t>
      </w:r>
      <w:r>
        <w:t>söz konusu olduğunda</w:t>
      </w:r>
      <w:r w:rsidR="009D6020" w:rsidRPr="00A57F8F">
        <w:t>, onaylanmış kuruluşlar</w:t>
      </w:r>
      <w:r>
        <w:t>,</w:t>
      </w:r>
      <w:r w:rsidR="009D6020" w:rsidRPr="00A57F8F">
        <w:t xml:space="preserve"> </w:t>
      </w:r>
      <w:r w:rsidRPr="00A57F8F">
        <w:t>NBOG BPG 2009-4</w:t>
      </w:r>
      <w:r w:rsidRPr="00A57F8F">
        <w:rPr>
          <w:rStyle w:val="DipnotBavurusu"/>
          <w:rFonts w:cs="Arial"/>
          <w:szCs w:val="24"/>
        </w:rPr>
        <w:footnoteReference w:id="15"/>
      </w:r>
      <w:r>
        <w:t xml:space="preserve"> doğrultusunda MDD kapsamındaki </w:t>
      </w:r>
      <w:r w:rsidR="009D6020" w:rsidRPr="00A57F8F">
        <w:t>mevcut örnekleme plan</w:t>
      </w:r>
      <w:r>
        <w:t>lar</w:t>
      </w:r>
      <w:r w:rsidR="009D6020" w:rsidRPr="00A57F8F">
        <w:t xml:space="preserve">ına göre örnekleme bazında teknik dokümantasyon değerlendirmelerine </w:t>
      </w:r>
      <w:r>
        <w:t xml:space="preserve">son vermeleri ve bunun yerine MDR’ye göre </w:t>
      </w:r>
      <w:r w:rsidRPr="00A57F8F">
        <w:t xml:space="preserve">teknik dokümantasyon değerlendirmelerine </w:t>
      </w:r>
      <w:r>
        <w:t>odaklanmalıdır</w:t>
      </w:r>
      <w:r w:rsidR="009D6020" w:rsidRPr="00A57F8F">
        <w:t>.</w:t>
      </w:r>
      <w:r>
        <w:t xml:space="preserve"> Ancak, önceki </w:t>
      </w:r>
      <w:r w:rsidRPr="00DB3DB7">
        <w:t>denetimlerde tespit edilen eksikliklerin takip edilmesi gerekmektedir.</w:t>
      </w:r>
    </w:p>
    <w:p w14:paraId="7F693F23" w14:textId="1006937F" w:rsidR="00AA523C" w:rsidRDefault="00F821E7" w:rsidP="009B7D67">
      <w:pPr>
        <w:pStyle w:val="Balk1"/>
        <w:numPr>
          <w:ilvl w:val="1"/>
          <w:numId w:val="9"/>
        </w:numPr>
      </w:pPr>
      <w:r>
        <w:t xml:space="preserve"> </w:t>
      </w:r>
      <w:r w:rsidR="00AA523C" w:rsidRPr="00A57F8F">
        <w:t>Yetkili Otoriteler</w:t>
      </w:r>
      <w:r>
        <w:t xml:space="preserve">i </w:t>
      </w:r>
      <w:r w:rsidR="00AA523C" w:rsidRPr="00A57F8F">
        <w:t>Bilgilendirme</w:t>
      </w:r>
    </w:p>
    <w:p w14:paraId="7241C10F" w14:textId="675526F5" w:rsidR="00217502" w:rsidRPr="00A57F8F" w:rsidRDefault="00AA523C" w:rsidP="00CF2357">
      <w:r w:rsidRPr="00A57F8F">
        <w:t>Denetim faaliyetlerinin</w:t>
      </w:r>
      <w:r w:rsidR="004A5FD8">
        <w:t>;</w:t>
      </w:r>
      <w:r w:rsidRPr="00A57F8F">
        <w:t xml:space="preserve"> hastaların, kullanıcıların veya diğer kişilerin sağlığı veya güvenliği için kabul edilemez bir risk oluşturabilecek büyük bir uygunsuzluk ortaya çıkardığı durumlarda, onaylanmış kuruluşun ilgili yetkili otoriteyi bilgilendirmesi gerek</w:t>
      </w:r>
      <w:r w:rsidR="00B3106D">
        <w:t>mekted</w:t>
      </w:r>
      <w:r w:rsidRPr="00A57F8F">
        <w:t>ir.</w:t>
      </w:r>
    </w:p>
    <w:p w14:paraId="71B754F7" w14:textId="735AF9D4" w:rsidR="00217502" w:rsidRPr="00A57F8F" w:rsidRDefault="00AA523C" w:rsidP="00CF2357">
      <w:r w:rsidRPr="00A57F8F">
        <w:t>MDD veya AIMDD kapsamında düzenlenen sertifikaların askıya alınması, eski durumuna getirilmesi, kısıtlanması,</w:t>
      </w:r>
      <w:r w:rsidR="004A5FD8" w:rsidRPr="004A5FD8">
        <w:t xml:space="preserve"> </w:t>
      </w:r>
      <w:r w:rsidRPr="00A57F8F">
        <w:t xml:space="preserve">geri çekilmesi </w:t>
      </w:r>
      <w:r w:rsidR="00A44A80" w:rsidRPr="00A57F8F">
        <w:t xml:space="preserve">veya imalatçı tarafından iptal edilmesi </w:t>
      </w:r>
      <w:r w:rsidRPr="00A57F8F">
        <w:t xml:space="preserve">durumunda, </w:t>
      </w:r>
      <w:r w:rsidR="00A44A80">
        <w:t>o</w:t>
      </w:r>
      <w:r w:rsidR="00FB222F">
        <w:t>naylanmış kuruluşun</w:t>
      </w:r>
      <w:r w:rsidR="00A44A80">
        <w:t xml:space="preserve"> </w:t>
      </w:r>
      <w:r w:rsidRPr="00A57F8F">
        <w:t>MDR Madde 122</w:t>
      </w:r>
      <w:r w:rsidR="009B7D67">
        <w:rPr>
          <w:rStyle w:val="DipnotBavurusu"/>
        </w:rPr>
        <w:footnoteReference w:id="16"/>
      </w:r>
      <w:r w:rsidRPr="00A57F8F">
        <w:t xml:space="preserve"> uyarınca bildirim yükümlülüklerine uyması gerek</w:t>
      </w:r>
      <w:r w:rsidR="00A44A80">
        <w:t>mekted</w:t>
      </w:r>
      <w:r w:rsidRPr="00A57F8F">
        <w:t>ir.</w:t>
      </w:r>
    </w:p>
    <w:p w14:paraId="7BBE4100" w14:textId="1F1C133C" w:rsidR="004B2D0B" w:rsidRPr="00A57F8F" w:rsidRDefault="004B2D0B" w:rsidP="00556ED4">
      <w:pPr>
        <w:pStyle w:val="Balk1"/>
        <w:spacing w:before="0"/>
      </w:pPr>
      <w:r w:rsidRPr="00A57F8F">
        <w:t xml:space="preserve">MDR Madde 120(3) uyarınca </w:t>
      </w:r>
      <w:r w:rsidR="004A5FD8" w:rsidRPr="00A57F8F">
        <w:t xml:space="preserve">olası </w:t>
      </w:r>
      <w:r w:rsidRPr="00A57F8F">
        <w:t xml:space="preserve">gözetim </w:t>
      </w:r>
      <w:r w:rsidR="007B351D">
        <w:t xml:space="preserve">ve denetim </w:t>
      </w:r>
      <w:r w:rsidRPr="00A57F8F">
        <w:t>senaryolar</w:t>
      </w:r>
      <w:r w:rsidR="004A5FD8">
        <w:t>ı</w:t>
      </w:r>
    </w:p>
    <w:p w14:paraId="5643DF73" w14:textId="13C3B877" w:rsidR="004B2D0B" w:rsidRPr="00A57F8F" w:rsidRDefault="00F20FC4" w:rsidP="00CF2357">
      <w:pPr>
        <w:rPr>
          <w:rFonts w:cs="Arial"/>
          <w:szCs w:val="24"/>
        </w:rPr>
      </w:pPr>
      <w:r w:rsidRPr="00F20FC4">
        <w:t xml:space="preserve">Ek'teki karşılaştırma tablosu, eski cihazlar için AIMD/MDD gerekliliklerinin MDR gereklilikleri kapsamında olduğunu göstermektedir. </w:t>
      </w:r>
      <w:r>
        <w:t>Bu nedenle, i</w:t>
      </w:r>
      <w:r w:rsidR="004B2D0B" w:rsidRPr="00A57F8F">
        <w:t xml:space="preserve">malatçının özel durumuna bağlı olarak; MDR Madde 120(3) kapsamında gerçekleştirilecek </w:t>
      </w:r>
      <w:r w:rsidR="00514B8D" w:rsidRPr="00A57F8F">
        <w:t xml:space="preserve"> </w:t>
      </w:r>
      <w:r w:rsidR="004B2D0B" w:rsidRPr="00A57F8F">
        <w:t>denetimler</w:t>
      </w:r>
      <w:r>
        <w:t xml:space="preserve"> ile</w:t>
      </w:r>
      <w:r w:rsidR="004B2D0B" w:rsidRPr="00A57F8F">
        <w:t xml:space="preserve"> MDR Madde 52</w:t>
      </w:r>
      <w:r>
        <w:t>’ye</w:t>
      </w:r>
      <w:r w:rsidR="00514B8D">
        <w:t xml:space="preserve"> </w:t>
      </w:r>
      <w:r>
        <w:t>göre gerçekleştirilecek</w:t>
      </w:r>
      <w:r w:rsidR="004B2D0B" w:rsidRPr="00A57F8F">
        <w:t xml:space="preserve"> denetimler ve Ek IX veya XI'de belirtilen ilgili prosedürler</w:t>
      </w:r>
      <w:r>
        <w:t xml:space="preserve">, </w:t>
      </w:r>
      <w:r w:rsidRPr="00F20FC4">
        <w:t>MDR gerekliliklerine uygunluğun değerlendirilmesine odaklanarak</w:t>
      </w:r>
      <w:r w:rsidRPr="00F20FC4" w:rsidDel="00F20FC4">
        <w:t xml:space="preserve"> </w:t>
      </w:r>
      <w:r w:rsidR="004B2D0B" w:rsidRPr="00A57F8F">
        <w:t xml:space="preserve"> birleştiril</w:t>
      </w:r>
      <w:r>
        <w:t>melidir</w:t>
      </w:r>
      <w:r w:rsidR="004B2D0B" w:rsidRPr="00A57F8F">
        <w:t xml:space="preserve">. </w:t>
      </w:r>
      <w:r w:rsidR="004B2D0B" w:rsidRPr="00A57F8F">
        <w:rPr>
          <w:rFonts w:cs="Arial"/>
          <w:szCs w:val="24"/>
        </w:rPr>
        <w:t xml:space="preserve">MDD veya AIMDD sertifikalı cihazlarla ilgili </w:t>
      </w:r>
      <w:r w:rsidR="00524FAB">
        <w:rPr>
          <w:rFonts w:cs="Arial"/>
          <w:szCs w:val="24"/>
        </w:rPr>
        <w:t>uygulanabilir</w:t>
      </w:r>
      <w:r w:rsidR="004B2D0B" w:rsidRPr="00A57F8F">
        <w:rPr>
          <w:rFonts w:cs="Arial"/>
          <w:szCs w:val="24"/>
        </w:rPr>
        <w:t xml:space="preserve"> gereklilikler açısından uygun gözetim</w:t>
      </w:r>
      <w:r w:rsidR="00524FAB">
        <w:rPr>
          <w:rFonts w:cs="Arial"/>
          <w:szCs w:val="24"/>
        </w:rPr>
        <w:t xml:space="preserve"> ve denetim</w:t>
      </w:r>
      <w:r w:rsidR="004B2D0B" w:rsidRPr="00A57F8F">
        <w:rPr>
          <w:rFonts w:cs="Arial"/>
          <w:szCs w:val="24"/>
        </w:rPr>
        <w:t xml:space="preserve"> bağlamında gerçekleştirilecek faaliyetler</w:t>
      </w:r>
      <w:r>
        <w:rPr>
          <w:rFonts w:cs="Arial"/>
          <w:szCs w:val="24"/>
        </w:rPr>
        <w:t>e</w:t>
      </w:r>
      <w:r w:rsidR="004B2D0B" w:rsidRPr="00A57F8F">
        <w:rPr>
          <w:rFonts w:cs="Arial"/>
          <w:szCs w:val="24"/>
        </w:rPr>
        <w:t xml:space="preserve"> </w:t>
      </w:r>
      <w:r>
        <w:rPr>
          <w:rFonts w:cs="Arial"/>
          <w:szCs w:val="24"/>
        </w:rPr>
        <w:t xml:space="preserve">yönelik </w:t>
      </w:r>
      <w:r w:rsidR="004B2D0B" w:rsidRPr="00A57F8F">
        <w:rPr>
          <w:rFonts w:cs="Arial"/>
          <w:szCs w:val="24"/>
        </w:rPr>
        <w:t>prosedürleri oluştururken, onaylanmış kuruluş aşağıda sunulan dört olası senaryo arasında</w:t>
      </w:r>
      <w:r w:rsidR="002D6B5B">
        <w:rPr>
          <w:rFonts w:cs="Arial"/>
          <w:szCs w:val="24"/>
        </w:rPr>
        <w:t>ki farkı görebilir</w:t>
      </w:r>
      <w:r w:rsidR="00495873">
        <w:rPr>
          <w:rFonts w:cs="Arial"/>
          <w:szCs w:val="24"/>
        </w:rPr>
        <w:t>:</w:t>
      </w:r>
    </w:p>
    <w:p w14:paraId="46B53807" w14:textId="40CEC173" w:rsidR="004B2D0B" w:rsidRDefault="004B2D0B" w:rsidP="00556ED4">
      <w:pPr>
        <w:pStyle w:val="ListeParagraf"/>
        <w:numPr>
          <w:ilvl w:val="0"/>
          <w:numId w:val="14"/>
        </w:numPr>
        <w:spacing w:after="0" w:line="240" w:lineRule="auto"/>
        <w:rPr>
          <w:rFonts w:cs="Arial"/>
          <w:szCs w:val="24"/>
        </w:rPr>
      </w:pPr>
      <w:r w:rsidRPr="00A57F8F">
        <w:rPr>
          <w:rFonts w:cs="Arial"/>
          <w:szCs w:val="24"/>
        </w:rPr>
        <w:t xml:space="preserve">MDR kapsamında </w:t>
      </w:r>
      <w:r w:rsidR="00AE40FF">
        <w:rPr>
          <w:rFonts w:cs="Arial"/>
          <w:szCs w:val="24"/>
        </w:rPr>
        <w:t>belgelendirme</w:t>
      </w:r>
      <w:r w:rsidR="00AE40FF" w:rsidRPr="00A57F8F">
        <w:rPr>
          <w:rFonts w:cs="Arial"/>
          <w:szCs w:val="24"/>
        </w:rPr>
        <w:t xml:space="preserve"> </w:t>
      </w:r>
      <w:r w:rsidRPr="00A57F8F">
        <w:rPr>
          <w:rFonts w:cs="Arial"/>
          <w:szCs w:val="24"/>
        </w:rPr>
        <w:t>başvurusunda bulunmamış (ve MDR Madde 120(3)'de belirtilen gerek</w:t>
      </w:r>
      <w:r w:rsidR="00AE40FF">
        <w:rPr>
          <w:rFonts w:cs="Arial"/>
          <w:szCs w:val="24"/>
        </w:rPr>
        <w:t>lilikle</w:t>
      </w:r>
      <w:r w:rsidRPr="00A57F8F">
        <w:rPr>
          <w:rFonts w:cs="Arial"/>
          <w:szCs w:val="24"/>
        </w:rPr>
        <w:t>r dışında sistemlerini MDR'ye uyarlamayacak</w:t>
      </w:r>
      <w:r w:rsidR="004A66B6">
        <w:rPr>
          <w:rFonts w:cs="Arial"/>
          <w:szCs w:val="24"/>
        </w:rPr>
        <w:t xml:space="preserve"> veya uyarlamamış</w:t>
      </w:r>
      <w:r w:rsidRPr="00A57F8F">
        <w:rPr>
          <w:rFonts w:cs="Arial"/>
          <w:szCs w:val="24"/>
        </w:rPr>
        <w:t xml:space="preserve">) </w:t>
      </w:r>
      <w:r w:rsidR="00AE40FF">
        <w:rPr>
          <w:rFonts w:cs="Arial"/>
          <w:szCs w:val="24"/>
        </w:rPr>
        <w:t>‘</w:t>
      </w:r>
      <w:r w:rsidRPr="00A57F8F">
        <w:rPr>
          <w:rFonts w:cs="Arial"/>
          <w:szCs w:val="24"/>
        </w:rPr>
        <w:t>kalıt cihaz</w:t>
      </w:r>
      <w:r w:rsidR="002D6B5B">
        <w:rPr>
          <w:rFonts w:cs="Arial"/>
          <w:szCs w:val="24"/>
        </w:rPr>
        <w:t>ların</w:t>
      </w:r>
      <w:r w:rsidR="00AE40FF">
        <w:rPr>
          <w:rFonts w:cs="Arial"/>
          <w:szCs w:val="24"/>
        </w:rPr>
        <w:t>’</w:t>
      </w:r>
      <w:r w:rsidRPr="00A57F8F">
        <w:rPr>
          <w:rFonts w:cs="Arial"/>
          <w:szCs w:val="24"/>
        </w:rPr>
        <w:t xml:space="preserve"> imalatçıları,</w:t>
      </w:r>
    </w:p>
    <w:p w14:paraId="0B651720" w14:textId="103B964B" w:rsidR="00CD5E5C" w:rsidRPr="00556ED4" w:rsidRDefault="004B2D0B">
      <w:pPr>
        <w:pStyle w:val="ListeParagraf"/>
        <w:numPr>
          <w:ilvl w:val="0"/>
          <w:numId w:val="14"/>
        </w:numPr>
        <w:spacing w:after="0" w:line="240" w:lineRule="auto"/>
        <w:rPr>
          <w:rFonts w:cs="Arial"/>
          <w:szCs w:val="24"/>
        </w:rPr>
      </w:pPr>
      <w:r w:rsidRPr="00A57F8F">
        <w:rPr>
          <w:rFonts w:cs="Arial"/>
          <w:szCs w:val="24"/>
        </w:rPr>
        <w:t xml:space="preserve">MDR gerekliliklerini sistemlerinde hâlihazırda uygulamış ve MDR sertifikası başvurusu MDD veya AIMDD sertifikası/sertifikaları </w:t>
      </w:r>
      <w:r w:rsidR="00AE40FF">
        <w:rPr>
          <w:rFonts w:cs="Arial"/>
          <w:szCs w:val="24"/>
        </w:rPr>
        <w:t>düzenleyen</w:t>
      </w:r>
      <w:r w:rsidR="00AE40FF" w:rsidRPr="00A57F8F">
        <w:rPr>
          <w:rFonts w:cs="Arial"/>
          <w:szCs w:val="24"/>
        </w:rPr>
        <w:t xml:space="preserve"> </w:t>
      </w:r>
      <w:r w:rsidRPr="00A57F8F">
        <w:rPr>
          <w:rFonts w:cs="Arial"/>
          <w:szCs w:val="24"/>
        </w:rPr>
        <w:t xml:space="preserve">onaylanmış kuruluş tarafından incelenmekte olan </w:t>
      </w:r>
      <w:r w:rsidR="00AE40FF" w:rsidRPr="00A57F8F">
        <w:rPr>
          <w:rFonts w:cs="Arial"/>
          <w:szCs w:val="24"/>
        </w:rPr>
        <w:t>MDR cihazları</w:t>
      </w:r>
      <w:r w:rsidR="000769D8">
        <w:rPr>
          <w:rFonts w:cs="Arial"/>
          <w:szCs w:val="24"/>
        </w:rPr>
        <w:t>nın</w:t>
      </w:r>
      <w:r w:rsidR="00AE40FF">
        <w:rPr>
          <w:rFonts w:cs="Arial"/>
          <w:szCs w:val="24"/>
        </w:rPr>
        <w:t xml:space="preserve"> ve</w:t>
      </w:r>
      <w:r w:rsidR="00AE40FF" w:rsidRPr="00A57F8F">
        <w:rPr>
          <w:rFonts w:cs="Arial"/>
          <w:szCs w:val="24"/>
        </w:rPr>
        <w:t xml:space="preserve"> </w:t>
      </w:r>
      <w:r w:rsidR="00AE40FF">
        <w:rPr>
          <w:rFonts w:cs="Arial"/>
          <w:szCs w:val="24"/>
        </w:rPr>
        <w:t>‘</w:t>
      </w:r>
      <w:r w:rsidR="00AE40FF" w:rsidRPr="00A57F8F">
        <w:rPr>
          <w:rFonts w:cs="Arial"/>
          <w:szCs w:val="24"/>
        </w:rPr>
        <w:t>kalıt cihaz</w:t>
      </w:r>
      <w:r w:rsidR="000769D8">
        <w:rPr>
          <w:rFonts w:cs="Arial"/>
          <w:szCs w:val="24"/>
        </w:rPr>
        <w:t>ların</w:t>
      </w:r>
      <w:r w:rsidR="00AE40FF">
        <w:rPr>
          <w:rFonts w:cs="Arial"/>
          <w:szCs w:val="24"/>
        </w:rPr>
        <w:t>’</w:t>
      </w:r>
      <w:r w:rsidR="00AE40FF" w:rsidRPr="00A57F8F">
        <w:rPr>
          <w:rFonts w:cs="Arial"/>
          <w:szCs w:val="24"/>
        </w:rPr>
        <w:t xml:space="preserve"> imalatçıları,</w:t>
      </w:r>
    </w:p>
    <w:p w14:paraId="17209970" w14:textId="789C183F" w:rsidR="004B2D0B" w:rsidRDefault="004B2D0B" w:rsidP="00556ED4">
      <w:pPr>
        <w:pStyle w:val="ListeParagraf"/>
        <w:numPr>
          <w:ilvl w:val="0"/>
          <w:numId w:val="14"/>
        </w:numPr>
        <w:spacing w:after="0" w:line="240" w:lineRule="auto"/>
        <w:rPr>
          <w:rFonts w:cs="Arial"/>
          <w:szCs w:val="24"/>
        </w:rPr>
      </w:pPr>
      <w:r w:rsidRPr="00A57F8F">
        <w:rPr>
          <w:rFonts w:cs="Arial"/>
          <w:szCs w:val="24"/>
        </w:rPr>
        <w:t xml:space="preserve">Aynı ve/veya </w:t>
      </w:r>
      <w:r w:rsidR="004A66B6">
        <w:rPr>
          <w:rFonts w:cs="Arial"/>
          <w:szCs w:val="24"/>
        </w:rPr>
        <w:t xml:space="preserve">kısmen </w:t>
      </w:r>
      <w:r w:rsidRPr="00A57F8F">
        <w:rPr>
          <w:rFonts w:cs="Arial"/>
          <w:szCs w:val="24"/>
        </w:rPr>
        <w:t>farklı cihaz</w:t>
      </w:r>
      <w:r w:rsidR="000769D8">
        <w:rPr>
          <w:rFonts w:cs="Arial"/>
          <w:szCs w:val="24"/>
        </w:rPr>
        <w:t xml:space="preserve"> tipleri</w:t>
      </w:r>
      <w:r w:rsidR="004A66B6">
        <w:rPr>
          <w:rFonts w:cs="Arial"/>
          <w:szCs w:val="24"/>
        </w:rPr>
        <w:t>, yani örtüşen kapsam sertifikaları,</w:t>
      </w:r>
      <w:r w:rsidRPr="00A57F8F">
        <w:rPr>
          <w:rFonts w:cs="Arial"/>
          <w:szCs w:val="24"/>
        </w:rPr>
        <w:t xml:space="preserve"> için </w:t>
      </w:r>
      <w:r w:rsidR="007D01E6" w:rsidRPr="00A57F8F">
        <w:rPr>
          <w:rFonts w:cs="Arial"/>
          <w:szCs w:val="24"/>
        </w:rPr>
        <w:t xml:space="preserve">MDR kapsamında </w:t>
      </w:r>
      <w:r w:rsidRPr="00A57F8F">
        <w:rPr>
          <w:rFonts w:cs="Arial"/>
          <w:szCs w:val="24"/>
        </w:rPr>
        <w:t xml:space="preserve">aynı onaylanmış kuruluş tarafından </w:t>
      </w:r>
      <w:r w:rsidR="00101CE3">
        <w:rPr>
          <w:rFonts w:cs="Arial"/>
          <w:szCs w:val="24"/>
        </w:rPr>
        <w:t>hâlihazırda</w:t>
      </w:r>
      <w:r w:rsidR="007D01E6">
        <w:rPr>
          <w:rFonts w:cs="Arial"/>
          <w:szCs w:val="24"/>
        </w:rPr>
        <w:t xml:space="preserve"> </w:t>
      </w:r>
      <w:r w:rsidR="00AE40FF">
        <w:rPr>
          <w:rFonts w:cs="Arial"/>
          <w:szCs w:val="24"/>
        </w:rPr>
        <w:t>belgelendirilmiş</w:t>
      </w:r>
      <w:r w:rsidRPr="00A57F8F">
        <w:rPr>
          <w:rFonts w:cs="Arial"/>
          <w:szCs w:val="24"/>
        </w:rPr>
        <w:t xml:space="preserve"> MDR cihazları</w:t>
      </w:r>
      <w:r w:rsidR="007D01E6">
        <w:rPr>
          <w:rFonts w:cs="Arial"/>
          <w:szCs w:val="24"/>
        </w:rPr>
        <w:t>nın</w:t>
      </w:r>
      <w:r w:rsidR="00AE40FF">
        <w:rPr>
          <w:rFonts w:cs="Arial"/>
          <w:szCs w:val="24"/>
        </w:rPr>
        <w:t xml:space="preserve"> ve</w:t>
      </w:r>
      <w:r w:rsidR="00AE40FF" w:rsidRPr="00A57F8F">
        <w:rPr>
          <w:rFonts w:cs="Arial"/>
          <w:szCs w:val="24"/>
        </w:rPr>
        <w:t xml:space="preserve"> </w:t>
      </w:r>
      <w:r w:rsidR="00AE40FF">
        <w:rPr>
          <w:rFonts w:cs="Arial"/>
          <w:szCs w:val="24"/>
        </w:rPr>
        <w:t>‘</w:t>
      </w:r>
      <w:r w:rsidR="00AE40FF" w:rsidRPr="00A57F8F">
        <w:rPr>
          <w:rFonts w:cs="Arial"/>
          <w:szCs w:val="24"/>
        </w:rPr>
        <w:t>kalıt cihaz</w:t>
      </w:r>
      <w:r w:rsidR="007D01E6">
        <w:rPr>
          <w:rFonts w:cs="Arial"/>
          <w:szCs w:val="24"/>
        </w:rPr>
        <w:t>ların</w:t>
      </w:r>
      <w:r w:rsidR="00AE40FF">
        <w:rPr>
          <w:rFonts w:cs="Arial"/>
          <w:szCs w:val="24"/>
        </w:rPr>
        <w:t>’</w:t>
      </w:r>
      <w:r w:rsidRPr="00A57F8F">
        <w:rPr>
          <w:rFonts w:cs="Arial"/>
          <w:szCs w:val="24"/>
        </w:rPr>
        <w:t xml:space="preserve"> imalatçıları,</w:t>
      </w:r>
    </w:p>
    <w:p w14:paraId="740213EC" w14:textId="2C485B85" w:rsidR="004B2D0B" w:rsidRPr="00556ED4" w:rsidRDefault="00101CE3" w:rsidP="00556ED4">
      <w:pPr>
        <w:pStyle w:val="ListeParagraf"/>
        <w:numPr>
          <w:ilvl w:val="0"/>
          <w:numId w:val="14"/>
        </w:numPr>
        <w:spacing w:after="0" w:line="240" w:lineRule="auto"/>
        <w:rPr>
          <w:rFonts w:cs="Arial"/>
          <w:szCs w:val="24"/>
        </w:rPr>
      </w:pPr>
      <w:r w:rsidRPr="00A57F8F">
        <w:rPr>
          <w:rFonts w:cs="Arial"/>
          <w:szCs w:val="24"/>
        </w:rPr>
        <w:t>MDR kapsamında</w:t>
      </w:r>
      <w:r>
        <w:rPr>
          <w:rFonts w:cs="Arial"/>
          <w:szCs w:val="24"/>
        </w:rPr>
        <w:t xml:space="preserve"> b</w:t>
      </w:r>
      <w:r w:rsidR="004B2D0B" w:rsidRPr="00A57F8F">
        <w:rPr>
          <w:rFonts w:cs="Arial"/>
          <w:szCs w:val="24"/>
        </w:rPr>
        <w:t xml:space="preserve">aşka bir onaylanmış kuruluş tarafından </w:t>
      </w:r>
      <w:r w:rsidR="003F472C" w:rsidRPr="00A57F8F">
        <w:rPr>
          <w:rFonts w:cs="Arial"/>
          <w:szCs w:val="24"/>
        </w:rPr>
        <w:t xml:space="preserve">hâlihazırda </w:t>
      </w:r>
      <w:r w:rsidR="00AE40FF">
        <w:rPr>
          <w:rFonts w:cs="Arial"/>
          <w:szCs w:val="24"/>
        </w:rPr>
        <w:t>belgelendirilmiş</w:t>
      </w:r>
      <w:r w:rsidR="00AE40FF" w:rsidRPr="00A57F8F">
        <w:rPr>
          <w:rFonts w:cs="Arial"/>
          <w:szCs w:val="24"/>
        </w:rPr>
        <w:t xml:space="preserve"> </w:t>
      </w:r>
      <w:r w:rsidR="003F472C" w:rsidRPr="00A57F8F">
        <w:rPr>
          <w:rFonts w:cs="Arial"/>
          <w:szCs w:val="24"/>
        </w:rPr>
        <w:t xml:space="preserve">olan </w:t>
      </w:r>
      <w:r w:rsidR="00AE40FF" w:rsidRPr="00A57F8F">
        <w:rPr>
          <w:rFonts w:cs="Arial"/>
          <w:szCs w:val="24"/>
        </w:rPr>
        <w:t>MDR cihazları</w:t>
      </w:r>
      <w:r>
        <w:rPr>
          <w:rFonts w:cs="Arial"/>
          <w:szCs w:val="24"/>
        </w:rPr>
        <w:t>nın</w:t>
      </w:r>
      <w:r w:rsidR="00AE40FF">
        <w:rPr>
          <w:rFonts w:cs="Arial"/>
          <w:szCs w:val="24"/>
        </w:rPr>
        <w:t xml:space="preserve"> ve</w:t>
      </w:r>
      <w:r w:rsidR="00AE40FF" w:rsidRPr="00A57F8F">
        <w:rPr>
          <w:rFonts w:cs="Arial"/>
          <w:szCs w:val="24"/>
        </w:rPr>
        <w:t xml:space="preserve"> </w:t>
      </w:r>
      <w:r w:rsidR="00AE40FF">
        <w:rPr>
          <w:rFonts w:cs="Arial"/>
          <w:szCs w:val="24"/>
        </w:rPr>
        <w:t>‘</w:t>
      </w:r>
      <w:r w:rsidR="00AE40FF" w:rsidRPr="00A57F8F">
        <w:rPr>
          <w:rFonts w:cs="Arial"/>
          <w:szCs w:val="24"/>
        </w:rPr>
        <w:t>kalıt cihaz</w:t>
      </w:r>
      <w:r>
        <w:rPr>
          <w:rFonts w:cs="Arial"/>
          <w:szCs w:val="24"/>
        </w:rPr>
        <w:t>ların</w:t>
      </w:r>
      <w:r w:rsidR="00AE40FF">
        <w:rPr>
          <w:rFonts w:cs="Arial"/>
          <w:szCs w:val="24"/>
        </w:rPr>
        <w:t>’</w:t>
      </w:r>
      <w:r w:rsidR="00AE40FF" w:rsidRPr="00A57F8F">
        <w:rPr>
          <w:rFonts w:cs="Arial"/>
          <w:szCs w:val="24"/>
        </w:rPr>
        <w:t xml:space="preserve"> imalatçıları,</w:t>
      </w:r>
    </w:p>
    <w:p w14:paraId="2AC44091" w14:textId="076C2BD3" w:rsidR="00217502" w:rsidRPr="00A57F8F" w:rsidRDefault="003F472C" w:rsidP="00CF2357">
      <w:r w:rsidRPr="00A57F8F">
        <w:t>(a) senaryosu için, onaylanmış kuruluşlar;</w:t>
      </w:r>
      <w:r w:rsidR="004A66B6">
        <w:t xml:space="preserve"> </w:t>
      </w:r>
      <w:r w:rsidR="004A66B6" w:rsidRPr="00A57F8F">
        <w:t>Direktifler kapsamında gözetim</w:t>
      </w:r>
      <w:r w:rsidR="004A66B6">
        <w:t xml:space="preserve"> ve denetim</w:t>
      </w:r>
      <w:r w:rsidR="004A66B6" w:rsidRPr="00A57F8F">
        <w:t xml:space="preserve"> </w:t>
      </w:r>
      <w:r w:rsidR="004A66B6" w:rsidRPr="003F1238">
        <w:t>değerlendirmesi yapmalı ve</w:t>
      </w:r>
      <w:r w:rsidRPr="003F1238">
        <w:t xml:space="preserve"> "</w:t>
      </w:r>
      <w:r w:rsidR="00AE40FF" w:rsidRPr="003F1238">
        <w:t>piyasaya arz sonrası gözetim, piyasa gözetimi</w:t>
      </w:r>
      <w:r w:rsidR="0090483F" w:rsidRPr="003F1238">
        <w:t xml:space="preserve"> ve denetimi</w:t>
      </w:r>
      <w:r w:rsidR="00AE40FF" w:rsidRPr="003F1238">
        <w:t xml:space="preserve">, vijilans, iktisadi işletmecilerin kaydı </w:t>
      </w:r>
      <w:r w:rsidRPr="003F1238">
        <w:t xml:space="preserve">ile ilgili" MDR gerekliliklerinin </w:t>
      </w:r>
      <w:r w:rsidR="00AE40FF" w:rsidRPr="003F1238">
        <w:t>uygulan</w:t>
      </w:r>
      <w:r w:rsidR="004A66B6" w:rsidRPr="003F1238">
        <w:t>dığını</w:t>
      </w:r>
      <w:r w:rsidR="00AE40FF" w:rsidRPr="003F1238">
        <w:t xml:space="preserve"> </w:t>
      </w:r>
      <w:r w:rsidR="004A66B6" w:rsidRPr="003F1238">
        <w:t>doğrulamalıdır</w:t>
      </w:r>
      <w:r w:rsidR="00AE40FF" w:rsidRPr="003F1238">
        <w:t>.</w:t>
      </w:r>
      <w:r w:rsidR="004A66B6" w:rsidRPr="003F1238">
        <w:t xml:space="preserve"> Bu senaryo kapsamında, imalatçının MDCG 2020-3'te belirtilen ilkelere dikkat edip etmediğini de doğrulamalıdırlar</w:t>
      </w:r>
      <w:r w:rsidR="004A66B6" w:rsidRPr="004A66B6">
        <w:t>.</w:t>
      </w:r>
    </w:p>
    <w:p w14:paraId="1E6BEF9C" w14:textId="510D474B" w:rsidR="00792928" w:rsidRPr="00A57F8F" w:rsidRDefault="00792928" w:rsidP="00CF2357">
      <w:r w:rsidRPr="00A57F8F">
        <w:t xml:space="preserve">(b) ila (d) senaryoları için; MDD veya AIMDD kapsamında sertifika(lar)ı düzenleyen onaylanmış kuruluşun hâlihazırda MDR kapsamında </w:t>
      </w:r>
      <w:r w:rsidR="00AE40FF">
        <w:t>atanmış</w:t>
      </w:r>
      <w:r w:rsidR="00AE40FF" w:rsidRPr="00A57F8F">
        <w:t xml:space="preserve"> </w:t>
      </w:r>
      <w:r w:rsidRPr="00A57F8F">
        <w:t xml:space="preserve">olması durumunda, bu </w:t>
      </w:r>
      <w:r w:rsidR="00AE40FF">
        <w:t>doküman</w:t>
      </w:r>
      <w:r w:rsidR="00F132A9">
        <w:t>ın</w:t>
      </w:r>
      <w:r w:rsidR="00AE40FF" w:rsidRPr="00A57F8F">
        <w:t xml:space="preserve"> </w:t>
      </w:r>
      <w:r w:rsidRPr="00A57F8F">
        <w:t>Eki dikkate alınarak MDR'ye göre gözetim</w:t>
      </w:r>
      <w:r w:rsidR="00F132A9">
        <w:t xml:space="preserve"> ve denetim</w:t>
      </w:r>
      <w:r w:rsidRPr="00A57F8F">
        <w:t xml:space="preserve"> faaliyetleri gerçekleştirilebilir. </w:t>
      </w:r>
    </w:p>
    <w:p w14:paraId="24DBBD7D" w14:textId="15440F06" w:rsidR="00C6402A" w:rsidRDefault="00C6402A" w:rsidP="00CF2357">
      <w:r w:rsidRPr="00C6402A">
        <w:t>MDD veya AIMDD kapsamında</w:t>
      </w:r>
      <w:r>
        <w:t>ki</w:t>
      </w:r>
      <w:r w:rsidRPr="00C6402A">
        <w:t xml:space="preserve"> sertifika</w:t>
      </w:r>
      <w:r>
        <w:t>yı/sertifikaları</w:t>
      </w:r>
      <w:r w:rsidRPr="00C6402A">
        <w:t xml:space="preserve"> düzenleyen onaylanmış kuruluşun MDR kapsamında </w:t>
      </w:r>
      <w:r>
        <w:t>atanmamış</w:t>
      </w:r>
      <w:r w:rsidRPr="00C6402A">
        <w:t xml:space="preserve"> olması durumunda</w:t>
      </w:r>
      <w:r>
        <w:t>;</w:t>
      </w:r>
      <w:r w:rsidRPr="00C6402A">
        <w:t xml:space="preserve"> (d) senaryosu</w:t>
      </w:r>
      <w:r>
        <w:t>,</w:t>
      </w:r>
      <w:r w:rsidRPr="00C6402A">
        <w:t xml:space="preserve"> (a) senaryosu gibi ele alınacaktır.</w:t>
      </w:r>
    </w:p>
    <w:p w14:paraId="20926A52" w14:textId="799EE297" w:rsidR="00217502" w:rsidRPr="00A57F8F" w:rsidRDefault="00792928" w:rsidP="00CF2357">
      <w:r w:rsidRPr="00A57F8F">
        <w:t>Ek olarak; (c)</w:t>
      </w:r>
      <w:r w:rsidR="00AE40FF" w:rsidRPr="00AE40FF">
        <w:t xml:space="preserve"> </w:t>
      </w:r>
      <w:r w:rsidR="00AE40FF" w:rsidRPr="00A57F8F">
        <w:t>senaryo</w:t>
      </w:r>
      <w:r w:rsidR="000E23DA">
        <w:t>su</w:t>
      </w:r>
      <w:r w:rsidR="00AE40FF">
        <w:t xml:space="preserve"> </w:t>
      </w:r>
      <w:r w:rsidRPr="00A57F8F">
        <w:t>için, onaylanmış kuruluşlar</w:t>
      </w:r>
      <w:r w:rsidR="00671DF1" w:rsidRPr="009B7B15">
        <w:t>;</w:t>
      </w:r>
      <w:r w:rsidRPr="009B7B15">
        <w:t xml:space="preserve"> </w:t>
      </w:r>
      <w:r w:rsidR="000E23DA">
        <w:t>münferit</w:t>
      </w:r>
      <w:r w:rsidR="00671DF1" w:rsidRPr="009B7B15">
        <w:t xml:space="preserve"> </w:t>
      </w:r>
      <w:r w:rsidRPr="009B7B15">
        <w:t>koşulların</w:t>
      </w:r>
      <w:r w:rsidRPr="00A57F8F">
        <w:t xml:space="preserve"> bir değerlendirmesini yapmaları koşuluyla, MDR Madde 120(3) uyarınca MDR denetimlerini ve gözetim denetimlerini birleştirmeye karar verebilir. Değerlendirme ve karar, MDD</w:t>
      </w:r>
      <w:r w:rsidR="00C6402A">
        <w:t>/AIMDD</w:t>
      </w:r>
      <w:r w:rsidRPr="00A57F8F">
        <w:t xml:space="preserve"> ve MDR sertifikalarının </w:t>
      </w:r>
      <w:r w:rsidR="008370F4">
        <w:t>içerdiği</w:t>
      </w:r>
      <w:r w:rsidR="008370F4" w:rsidRPr="00A57F8F">
        <w:t xml:space="preserve"> </w:t>
      </w:r>
      <w:r w:rsidRPr="00A57F8F">
        <w:t xml:space="preserve">kapsamdaki benzerlikler, aynı imalat yerleri ve diğer ilgili hususlar gibi unsurlar dikkate alınarak gerekçelendirilmeli ve </w:t>
      </w:r>
      <w:r w:rsidR="008370F4">
        <w:t>dokümante edilmelidir.</w:t>
      </w:r>
    </w:p>
    <w:p w14:paraId="5B22B4ED" w14:textId="68A5E473" w:rsidR="005A1827" w:rsidRPr="00556ED4" w:rsidRDefault="005A1827" w:rsidP="00CF2357">
      <w:r w:rsidRPr="00A57F8F">
        <w:t xml:space="preserve">Onaylanmış kuruluşun prosedürleri, uygulanan farklı senaryoları </w:t>
      </w:r>
      <w:r w:rsidR="00FB28D2" w:rsidRPr="00A57F8F">
        <w:t>uygun şekilde tanımlamalıdır.</w:t>
      </w:r>
    </w:p>
    <w:p w14:paraId="4B24EAC7" w14:textId="77777777" w:rsidR="00FD7490" w:rsidRDefault="00FD7490">
      <w:pPr>
        <w:spacing w:after="160"/>
        <w:jc w:val="left"/>
      </w:pPr>
      <w:r>
        <w:br w:type="page"/>
      </w:r>
    </w:p>
    <w:p w14:paraId="0E57BC03" w14:textId="78EB9348" w:rsidR="003731A3" w:rsidRPr="00A57F8F" w:rsidRDefault="00042A1B" w:rsidP="00556ED4">
      <w:pPr>
        <w:spacing w:after="0" w:line="240" w:lineRule="auto"/>
        <w:ind w:left="705" w:hanging="705"/>
        <w:rPr>
          <w:rFonts w:cs="Arial"/>
          <w:b/>
          <w:szCs w:val="24"/>
        </w:rPr>
      </w:pPr>
      <w:r w:rsidRPr="00A57F8F">
        <w:rPr>
          <w:rFonts w:cs="Arial"/>
          <w:b/>
          <w:szCs w:val="24"/>
        </w:rPr>
        <w:t>Ek</w:t>
      </w:r>
      <w:r w:rsidR="00B324E3">
        <w:rPr>
          <w:rFonts w:cs="Arial"/>
          <w:b/>
          <w:szCs w:val="24"/>
        </w:rPr>
        <w:tab/>
      </w:r>
      <w:r w:rsidRPr="00A57F8F">
        <w:rPr>
          <w:rFonts w:cs="Arial"/>
          <w:b/>
          <w:szCs w:val="24"/>
        </w:rPr>
        <w:t>Karşılaştırma tablosu – MDD ve MDR'deki kalite yönetim sistemi gerek</w:t>
      </w:r>
      <w:r w:rsidR="00B324E3">
        <w:rPr>
          <w:rFonts w:cs="Arial"/>
          <w:b/>
          <w:szCs w:val="24"/>
        </w:rPr>
        <w:t>lilik</w:t>
      </w:r>
      <w:r w:rsidRPr="00A57F8F">
        <w:rPr>
          <w:rFonts w:cs="Arial"/>
          <w:b/>
          <w:szCs w:val="24"/>
        </w:rPr>
        <w:t>leri</w:t>
      </w:r>
    </w:p>
    <w:p w14:paraId="31F0B72E" w14:textId="40CCC3B1" w:rsidR="003731A3" w:rsidRDefault="003731A3" w:rsidP="00294BFF">
      <w:pPr>
        <w:spacing w:after="0" w:line="240" w:lineRule="auto"/>
        <w:rPr>
          <w:rFonts w:cs="Arial"/>
          <w:b/>
          <w:szCs w:val="24"/>
        </w:rPr>
      </w:pPr>
    </w:p>
    <w:p w14:paraId="0A7C37D1" w14:textId="22AECE2C" w:rsidR="00BE1381" w:rsidRDefault="00BE1381" w:rsidP="00294BFF">
      <w:pPr>
        <w:spacing w:after="0" w:line="240" w:lineRule="auto"/>
        <w:rPr>
          <w:rFonts w:cs="Arial"/>
          <w:b/>
          <w:szCs w:val="24"/>
        </w:rPr>
      </w:pPr>
    </w:p>
    <w:p w14:paraId="27283E62" w14:textId="773DAB3C" w:rsidR="00BE1381" w:rsidRPr="00A57F8F" w:rsidRDefault="00B21887" w:rsidP="00556ED4">
      <w:pPr>
        <w:spacing w:after="0" w:line="240" w:lineRule="auto"/>
        <w:ind w:left="1416" w:firstLine="708"/>
        <w:rPr>
          <w:rFonts w:cs="Arial"/>
          <w:b/>
          <w:szCs w:val="24"/>
        </w:rPr>
      </w:pPr>
      <w:r>
        <w:rPr>
          <w:rFonts w:cs="Arial"/>
          <w:b/>
          <w:szCs w:val="24"/>
        </w:rPr>
        <w:t xml:space="preserve">                   </w:t>
      </w:r>
      <w:permStart w:id="585241841" w:edGrp="everyone"/>
      <w:r w:rsidR="00F46819">
        <w:rPr>
          <w:rFonts w:cs="Arial"/>
          <w:b/>
          <w:szCs w:val="24"/>
        </w:rPr>
        <w:object w:dxaOrig="1543" w:dyaOrig="1000" w14:anchorId="3B26AD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6pt;height:49.55pt" o:ole="">
            <v:imagedata r:id="rId8" o:title=""/>
          </v:shape>
          <o:OLEObject Type="Embed" ProgID="Excel.SheetMacroEnabled.12" ShapeID="_x0000_i1025" DrawAspect="Icon" ObjectID="_1760272267" r:id="rId9"/>
        </w:object>
      </w:r>
      <w:permEnd w:id="585241841"/>
    </w:p>
    <w:sectPr w:rsidR="00BE1381" w:rsidRPr="00A57F8F">
      <w:headerReference w:type="even" r:id="rId10"/>
      <w:headerReference w:type="default" r:id="rId11"/>
      <w:footerReference w:type="default" r:id="rId12"/>
      <w:head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E416B" w14:textId="77777777" w:rsidR="00CD1A99" w:rsidRDefault="00CD1A99" w:rsidP="002371CA">
      <w:pPr>
        <w:spacing w:after="0" w:line="240" w:lineRule="auto"/>
      </w:pPr>
      <w:r>
        <w:separator/>
      </w:r>
    </w:p>
  </w:endnote>
  <w:endnote w:type="continuationSeparator" w:id="0">
    <w:p w14:paraId="2ACC622A" w14:textId="77777777" w:rsidR="00CD1A99" w:rsidRDefault="00CD1A99" w:rsidP="00237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6365791"/>
      <w:docPartObj>
        <w:docPartGallery w:val="Page Numbers (Bottom of Page)"/>
        <w:docPartUnique/>
      </w:docPartObj>
    </w:sdtPr>
    <w:sdtEndPr/>
    <w:sdtContent>
      <w:sdt>
        <w:sdtPr>
          <w:id w:val="912971179"/>
          <w:docPartObj>
            <w:docPartGallery w:val="Page Numbers (Top of Page)"/>
            <w:docPartUnique/>
          </w:docPartObj>
        </w:sdtPr>
        <w:sdtEndPr/>
        <w:sdtContent>
          <w:p w14:paraId="0D4BC139" w14:textId="5D502FDF" w:rsidR="00CD1A99" w:rsidRDefault="00CD1A99">
            <w:pPr>
              <w:pStyle w:val="AltBilgi"/>
              <w:jc w:val="right"/>
            </w:pPr>
            <w:r>
              <w:t xml:space="preserve">Sayfa </w:t>
            </w:r>
            <w:r>
              <w:rPr>
                <w:b/>
                <w:bCs/>
                <w:szCs w:val="24"/>
              </w:rPr>
              <w:fldChar w:fldCharType="begin"/>
            </w:r>
            <w:r>
              <w:rPr>
                <w:b/>
                <w:bCs/>
              </w:rPr>
              <w:instrText>PAGE</w:instrText>
            </w:r>
            <w:r>
              <w:rPr>
                <w:b/>
                <w:bCs/>
                <w:szCs w:val="24"/>
              </w:rPr>
              <w:fldChar w:fldCharType="separate"/>
            </w:r>
            <w:r w:rsidR="00821ABF">
              <w:rPr>
                <w:b/>
                <w:bCs/>
                <w:noProof/>
              </w:rPr>
              <w:t>9</w:t>
            </w:r>
            <w:r>
              <w:rPr>
                <w:b/>
                <w:bCs/>
                <w:szCs w:val="24"/>
              </w:rPr>
              <w:fldChar w:fldCharType="end"/>
            </w:r>
            <w:r>
              <w:t xml:space="preserve"> / </w:t>
            </w:r>
            <w:r>
              <w:rPr>
                <w:b/>
                <w:bCs/>
                <w:szCs w:val="24"/>
              </w:rPr>
              <w:fldChar w:fldCharType="begin"/>
            </w:r>
            <w:r>
              <w:rPr>
                <w:b/>
                <w:bCs/>
              </w:rPr>
              <w:instrText>NUMPAGES</w:instrText>
            </w:r>
            <w:r>
              <w:rPr>
                <w:b/>
                <w:bCs/>
                <w:szCs w:val="24"/>
              </w:rPr>
              <w:fldChar w:fldCharType="separate"/>
            </w:r>
            <w:r w:rsidR="00821ABF">
              <w:rPr>
                <w:b/>
                <w:bCs/>
                <w:noProof/>
              </w:rPr>
              <w:t>9</w:t>
            </w:r>
            <w:r>
              <w:rPr>
                <w:b/>
                <w:bCs/>
                <w:szCs w:val="24"/>
              </w:rPr>
              <w:fldChar w:fldCharType="end"/>
            </w:r>
          </w:p>
        </w:sdtContent>
      </w:sdt>
    </w:sdtContent>
  </w:sdt>
  <w:p w14:paraId="1046B9E7" w14:textId="77777777" w:rsidR="00CD1A99" w:rsidRDefault="00CD1A9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803FC0" w14:textId="77777777" w:rsidR="00CD1A99" w:rsidRDefault="00CD1A99" w:rsidP="002371CA">
      <w:pPr>
        <w:spacing w:after="0" w:line="240" w:lineRule="auto"/>
      </w:pPr>
      <w:r>
        <w:separator/>
      </w:r>
    </w:p>
  </w:footnote>
  <w:footnote w:type="continuationSeparator" w:id="0">
    <w:p w14:paraId="7AACBF17" w14:textId="77777777" w:rsidR="00CD1A99" w:rsidRDefault="00CD1A99" w:rsidP="002371CA">
      <w:pPr>
        <w:spacing w:after="0" w:line="240" w:lineRule="auto"/>
      </w:pPr>
      <w:r>
        <w:continuationSeparator/>
      </w:r>
    </w:p>
  </w:footnote>
  <w:footnote w:id="1">
    <w:p w14:paraId="35F2A080" w14:textId="7220CE4B" w:rsidR="00CD1A99" w:rsidRPr="00294BFF" w:rsidRDefault="00CD1A99">
      <w:pPr>
        <w:pStyle w:val="DipnotMetni"/>
        <w:rPr>
          <w:rFonts w:cs="Arial"/>
          <w:sz w:val="18"/>
        </w:rPr>
      </w:pPr>
      <w:r w:rsidRPr="00294BFF">
        <w:rPr>
          <w:rStyle w:val="DipnotBavurusu"/>
          <w:rFonts w:cs="Arial"/>
          <w:sz w:val="18"/>
        </w:rPr>
        <w:footnoteRef/>
      </w:r>
      <w:r w:rsidRPr="00294BFF">
        <w:rPr>
          <w:rFonts w:cs="Arial"/>
          <w:sz w:val="18"/>
        </w:rPr>
        <w:t xml:space="preserve"> Bkz. MDR Madde 2(28).</w:t>
      </w:r>
    </w:p>
  </w:footnote>
  <w:footnote w:id="2">
    <w:p w14:paraId="319A5A28" w14:textId="5E9A20A6" w:rsidR="00CD1A99" w:rsidRPr="00294BFF" w:rsidRDefault="00CD1A99">
      <w:pPr>
        <w:pStyle w:val="DipnotMetni"/>
        <w:rPr>
          <w:rFonts w:cs="Arial"/>
          <w:sz w:val="18"/>
        </w:rPr>
      </w:pPr>
      <w:r w:rsidRPr="00294BFF">
        <w:rPr>
          <w:rStyle w:val="DipnotBavurusu"/>
          <w:rFonts w:cs="Arial"/>
          <w:sz w:val="18"/>
        </w:rPr>
        <w:footnoteRef/>
      </w:r>
      <w:r w:rsidRPr="00294BFF">
        <w:rPr>
          <w:rFonts w:cs="Arial"/>
          <w:sz w:val="18"/>
        </w:rPr>
        <w:t xml:space="preserve"> Bkz. MDR Madde 2(29).</w:t>
      </w:r>
    </w:p>
  </w:footnote>
  <w:footnote w:id="3">
    <w:p w14:paraId="7F7640B4" w14:textId="482BE2A4" w:rsidR="00CD1A99" w:rsidRPr="00294BFF" w:rsidRDefault="00CD1A99">
      <w:pPr>
        <w:pStyle w:val="DipnotMetni"/>
        <w:rPr>
          <w:rFonts w:cs="Arial"/>
          <w:sz w:val="18"/>
        </w:rPr>
      </w:pPr>
      <w:r w:rsidRPr="00294BFF">
        <w:rPr>
          <w:rStyle w:val="DipnotBavurusu"/>
          <w:rFonts w:cs="Arial"/>
          <w:sz w:val="18"/>
        </w:rPr>
        <w:footnoteRef/>
      </w:r>
      <w:r w:rsidR="006A1560">
        <w:rPr>
          <w:rFonts w:cs="Arial"/>
          <w:sz w:val="18"/>
        </w:rPr>
        <w:t xml:space="preserve"> </w:t>
      </w:r>
      <w:r w:rsidRPr="00294BFF">
        <w:rPr>
          <w:rFonts w:cs="Arial"/>
          <w:sz w:val="18"/>
        </w:rPr>
        <w:t>MDCG 2021-25 “MDR gerekliliklerinin ‘ka</w:t>
      </w:r>
      <w:r w:rsidR="00C9321A">
        <w:rPr>
          <w:rFonts w:cs="Arial"/>
          <w:sz w:val="18"/>
        </w:rPr>
        <w:t>lıt</w:t>
      </w:r>
      <w:r w:rsidRPr="00294BFF">
        <w:rPr>
          <w:rFonts w:cs="Arial"/>
          <w:sz w:val="18"/>
        </w:rPr>
        <w:t xml:space="preserve"> cihazlara' ve 90/385/AET veya 93/42/ AET sayılı Direktifler uyarınca 26 Mayıs 2021'den önce piyasaya </w:t>
      </w:r>
      <w:r w:rsidR="00EA6F1F">
        <w:rPr>
          <w:rFonts w:cs="Arial"/>
          <w:sz w:val="18"/>
        </w:rPr>
        <w:t>arz edilen</w:t>
      </w:r>
      <w:r w:rsidR="00EA6F1F" w:rsidRPr="00294BFF">
        <w:rPr>
          <w:rFonts w:cs="Arial"/>
          <w:sz w:val="18"/>
        </w:rPr>
        <w:t xml:space="preserve"> </w:t>
      </w:r>
      <w:r w:rsidRPr="00294BFF">
        <w:rPr>
          <w:rFonts w:cs="Arial"/>
          <w:sz w:val="18"/>
        </w:rPr>
        <w:t>cihazlara uygulanması</w:t>
      </w:r>
      <w:r w:rsidR="00EA6F1F">
        <w:rPr>
          <w:rFonts w:cs="Arial"/>
          <w:sz w:val="18"/>
        </w:rPr>
        <w:t>”</w:t>
      </w:r>
    </w:p>
    <w:p w14:paraId="25616881" w14:textId="56A28606" w:rsidR="00CD1A99" w:rsidRPr="00294BFF" w:rsidRDefault="00821ABF">
      <w:pPr>
        <w:pStyle w:val="DipnotMetni"/>
        <w:rPr>
          <w:rFonts w:cs="Arial"/>
          <w:sz w:val="18"/>
        </w:rPr>
      </w:pPr>
      <w:hyperlink r:id="rId1" w:history="1">
        <w:r w:rsidR="00CD1A99" w:rsidRPr="00294BFF">
          <w:rPr>
            <w:rStyle w:val="Kpr"/>
            <w:rFonts w:cs="Arial"/>
            <w:sz w:val="18"/>
          </w:rPr>
          <w:t>https://health.ec.europa.eu/system/files/2021-10/md_mdcg_2021_25_en_0.pdf</w:t>
        </w:r>
      </w:hyperlink>
      <w:r w:rsidR="00CD1A99" w:rsidRPr="00294BFF">
        <w:rPr>
          <w:rFonts w:cs="Arial"/>
          <w:sz w:val="18"/>
        </w:rPr>
        <w:t xml:space="preserve"> </w:t>
      </w:r>
    </w:p>
  </w:footnote>
  <w:footnote w:id="4">
    <w:p w14:paraId="6B5AF52E" w14:textId="78981E42" w:rsidR="00EB1B1F" w:rsidRDefault="00EB1B1F">
      <w:pPr>
        <w:pStyle w:val="DipnotMetni"/>
      </w:pPr>
      <w:r>
        <w:rPr>
          <w:rStyle w:val="DipnotBavurusu"/>
        </w:rPr>
        <w:footnoteRef/>
      </w:r>
      <w:r>
        <w:t xml:space="preserve"> MDCG 2022-15 “</w:t>
      </w:r>
      <w:r w:rsidRPr="00EB1B1F">
        <w:t>IVDD'ye göre sertifikalar tarafından kapsanan cihazlarla ilgili olarak IVDR Madde 110 kapsamındaki geçiş hükümlerine ilişkin uygun gözetim hakkında rehber</w:t>
      </w:r>
      <w:r>
        <w:t xml:space="preserve">” </w:t>
      </w:r>
      <w:hyperlink r:id="rId2" w:history="1">
        <w:r w:rsidRPr="00C10CCB">
          <w:rPr>
            <w:rStyle w:val="Kpr"/>
          </w:rPr>
          <w:t>https://health.ec.europa.eu/system/files/2022-09/mdcg_2022-15_en.pdf</w:t>
        </w:r>
      </w:hyperlink>
      <w:r>
        <w:t xml:space="preserve"> </w:t>
      </w:r>
    </w:p>
  </w:footnote>
  <w:footnote w:id="5">
    <w:p w14:paraId="68BA6607" w14:textId="7A45B73F" w:rsidR="00CD1A99" w:rsidRPr="00294BFF" w:rsidRDefault="00CD1A99">
      <w:pPr>
        <w:pStyle w:val="DipnotMetni"/>
        <w:rPr>
          <w:rFonts w:cs="Arial"/>
          <w:sz w:val="18"/>
        </w:rPr>
      </w:pPr>
      <w:r w:rsidRPr="00294BFF">
        <w:rPr>
          <w:rStyle w:val="DipnotBavurusu"/>
          <w:rFonts w:cs="Arial"/>
          <w:sz w:val="18"/>
        </w:rPr>
        <w:footnoteRef/>
      </w:r>
      <w:r w:rsidRPr="00294BFF">
        <w:rPr>
          <w:rFonts w:cs="Arial"/>
          <w:sz w:val="18"/>
        </w:rPr>
        <w:t xml:space="preserve"> MDCG 2020-3 “MDD veya AIMDD uyarınca sertifikalar</w:t>
      </w:r>
      <w:r w:rsidR="00EA6F1F">
        <w:rPr>
          <w:rFonts w:cs="Arial"/>
          <w:sz w:val="18"/>
        </w:rPr>
        <w:t xml:space="preserve"> tarafından</w:t>
      </w:r>
      <w:r w:rsidRPr="00294BFF">
        <w:rPr>
          <w:rFonts w:cs="Arial"/>
          <w:sz w:val="18"/>
        </w:rPr>
        <w:t xml:space="preserve"> kapsa</w:t>
      </w:r>
      <w:r w:rsidR="00EA6F1F">
        <w:rPr>
          <w:rFonts w:cs="Arial"/>
          <w:sz w:val="18"/>
        </w:rPr>
        <w:t>nan</w:t>
      </w:r>
      <w:r w:rsidRPr="00294BFF">
        <w:rPr>
          <w:rFonts w:cs="Arial"/>
          <w:sz w:val="18"/>
        </w:rPr>
        <w:t xml:space="preserve"> cihazlarla ilgili olarak MDR'nin 120. Maddesi kapsamındaki geçiş hükmüne ilişkin önemli değişikliklere ilişkin kılavuz” </w:t>
      </w:r>
    </w:p>
    <w:p w14:paraId="6E5252E9" w14:textId="5F93E904" w:rsidR="00CD1A99" w:rsidRPr="00294BFF" w:rsidRDefault="00821ABF">
      <w:pPr>
        <w:pStyle w:val="DipnotMetni"/>
        <w:rPr>
          <w:rFonts w:cs="Arial"/>
          <w:sz w:val="18"/>
        </w:rPr>
      </w:pPr>
      <w:hyperlink r:id="rId3" w:history="1">
        <w:r w:rsidR="00CD1A99" w:rsidRPr="00294BFF">
          <w:rPr>
            <w:rStyle w:val="Kpr"/>
            <w:rFonts w:cs="Arial"/>
            <w:sz w:val="18"/>
          </w:rPr>
          <w:t>https://health.ec.europa.eu/system/files/2020-09/md_mdcg_guidance_significant_changes_annexes_en_0.pdf</w:t>
        </w:r>
      </w:hyperlink>
      <w:r w:rsidR="00CD1A99" w:rsidRPr="00294BFF">
        <w:rPr>
          <w:rFonts w:cs="Arial"/>
          <w:sz w:val="18"/>
        </w:rPr>
        <w:t xml:space="preserve"> </w:t>
      </w:r>
      <w:r w:rsidR="00CD1A99" w:rsidRPr="00294BFF" w:rsidDel="00D20AE8">
        <w:rPr>
          <w:rFonts w:cs="Arial"/>
          <w:sz w:val="18"/>
        </w:rPr>
        <w:t xml:space="preserve"> </w:t>
      </w:r>
      <w:r w:rsidR="00CD1A99" w:rsidRPr="00294BFF">
        <w:rPr>
          <w:rFonts w:cs="Arial"/>
          <w:sz w:val="18"/>
        </w:rPr>
        <w:t xml:space="preserve"> </w:t>
      </w:r>
    </w:p>
  </w:footnote>
  <w:footnote w:id="6">
    <w:p w14:paraId="2D6A988B" w14:textId="67A7C544" w:rsidR="00516ADD" w:rsidRDefault="00516ADD" w:rsidP="00516ADD">
      <w:pPr>
        <w:pStyle w:val="DipnotMetni"/>
      </w:pPr>
      <w:r>
        <w:rPr>
          <w:rStyle w:val="DipnotBavurusu"/>
        </w:rPr>
        <w:footnoteRef/>
      </w:r>
      <w:r>
        <w:t xml:space="preserve"> </w:t>
      </w:r>
      <w:hyperlink r:id="rId4" w:history="1">
        <w:r w:rsidRPr="00516ADD">
          <w:rPr>
            <w:rStyle w:val="Kpr"/>
          </w:rPr>
          <w:t>MDCG 2022-14 MDCG Görüş Belgesi</w:t>
        </w:r>
      </w:hyperlink>
      <w:r>
        <w:t xml:space="preserve"> – MDR ve IVDR’ye Geçiş – Onaylanmış kuruluş kapasitesi ve tıbbi cihaz ve IVD'lerin ulaşılabilirliği</w:t>
      </w:r>
    </w:p>
  </w:footnote>
  <w:footnote w:id="7">
    <w:p w14:paraId="7091A375" w14:textId="485F257B" w:rsidR="00CD1A99" w:rsidRPr="00294BFF" w:rsidRDefault="00CD1A99">
      <w:pPr>
        <w:pStyle w:val="DipnotMetni"/>
        <w:rPr>
          <w:rFonts w:cs="Arial"/>
          <w:sz w:val="18"/>
        </w:rPr>
      </w:pPr>
      <w:r w:rsidRPr="00294BFF">
        <w:rPr>
          <w:rStyle w:val="DipnotBavurusu"/>
          <w:rFonts w:cs="Arial"/>
          <w:sz w:val="18"/>
        </w:rPr>
        <w:footnoteRef/>
      </w:r>
      <w:r w:rsidRPr="00294BFF">
        <w:rPr>
          <w:rFonts w:cs="Arial"/>
          <w:sz w:val="18"/>
        </w:rPr>
        <w:t xml:space="preserve"> MDCG 2021-25'te tanımlanan terminolojiye bakınız.</w:t>
      </w:r>
    </w:p>
  </w:footnote>
  <w:footnote w:id="8">
    <w:p w14:paraId="786BDF01" w14:textId="3E3161DF" w:rsidR="00CD1A99" w:rsidRDefault="00CD1A99" w:rsidP="00AF0313">
      <w:pPr>
        <w:pStyle w:val="DipnotMetni"/>
      </w:pPr>
      <w:r w:rsidRPr="00294BFF">
        <w:rPr>
          <w:rStyle w:val="DipnotBavurusu"/>
          <w:rFonts w:cs="Arial"/>
          <w:sz w:val="18"/>
        </w:rPr>
        <w:footnoteRef/>
      </w:r>
      <w:r w:rsidRPr="00294BFF">
        <w:rPr>
          <w:rFonts w:cs="Arial"/>
          <w:sz w:val="18"/>
        </w:rPr>
        <w:t xml:space="preserve"> MDR Madde 120(1)'e göre, 26 Mayıs 2021'den itibaren, 90/385/</w:t>
      </w:r>
      <w:r w:rsidR="00F12D42">
        <w:rPr>
          <w:rFonts w:cs="Arial"/>
          <w:sz w:val="18"/>
        </w:rPr>
        <w:t>AET</w:t>
      </w:r>
      <w:r w:rsidR="00F12D42" w:rsidRPr="00294BFF">
        <w:rPr>
          <w:rFonts w:cs="Arial"/>
          <w:sz w:val="18"/>
        </w:rPr>
        <w:t xml:space="preserve"> </w:t>
      </w:r>
      <w:r w:rsidRPr="00294BFF">
        <w:rPr>
          <w:rFonts w:cs="Arial"/>
          <w:sz w:val="18"/>
        </w:rPr>
        <w:t>ve 93/42/</w:t>
      </w:r>
      <w:r w:rsidR="00F12D42">
        <w:rPr>
          <w:rFonts w:cs="Arial"/>
          <w:sz w:val="18"/>
        </w:rPr>
        <w:t>AET sayılı</w:t>
      </w:r>
      <w:r w:rsidR="00F12D42" w:rsidRPr="00294BFF">
        <w:rPr>
          <w:rFonts w:cs="Arial"/>
          <w:sz w:val="18"/>
        </w:rPr>
        <w:t xml:space="preserve"> </w:t>
      </w:r>
      <w:r w:rsidRPr="00294BFF">
        <w:rPr>
          <w:rFonts w:cs="Arial"/>
          <w:sz w:val="18"/>
        </w:rPr>
        <w:t xml:space="preserve">Direktifler uyarınca onaylanmış kuruluşla ilgili herhangi bir bildirim yayını geçersiz olacaktır. Bundan bağımsız olarak, bu </w:t>
      </w:r>
      <w:r w:rsidR="00F12D42">
        <w:rPr>
          <w:rFonts w:cs="Arial"/>
          <w:sz w:val="18"/>
        </w:rPr>
        <w:t>doküman</w:t>
      </w:r>
      <w:r w:rsidR="00F12D42" w:rsidRPr="00294BFF">
        <w:rPr>
          <w:rFonts w:cs="Arial"/>
          <w:sz w:val="18"/>
        </w:rPr>
        <w:t xml:space="preserve"> </w:t>
      </w:r>
      <w:r w:rsidRPr="00294BFF">
        <w:rPr>
          <w:rFonts w:cs="Arial"/>
          <w:sz w:val="18"/>
        </w:rPr>
        <w:t>boyunca "önceki" onaylanmış kuruluşlar için "onaylanmış kuruluş" terimi kullanılacaktır.</w:t>
      </w:r>
    </w:p>
  </w:footnote>
  <w:footnote w:id="9">
    <w:p w14:paraId="79286275" w14:textId="4FFB1C0D" w:rsidR="00CD1A99" w:rsidRPr="00294BFF" w:rsidRDefault="00CD1A99" w:rsidP="00F61E45">
      <w:pPr>
        <w:pStyle w:val="DipnotMetni"/>
        <w:rPr>
          <w:rFonts w:cs="Arial"/>
          <w:sz w:val="18"/>
        </w:rPr>
      </w:pPr>
      <w:r w:rsidRPr="00294BFF">
        <w:rPr>
          <w:rStyle w:val="DipnotBavurusu"/>
          <w:rFonts w:cs="Arial"/>
          <w:sz w:val="18"/>
        </w:rPr>
        <w:footnoteRef/>
      </w:r>
      <w:r w:rsidRPr="00294BFF">
        <w:rPr>
          <w:rFonts w:cs="Arial"/>
          <w:sz w:val="18"/>
        </w:rPr>
        <w:t xml:space="preserve"> MDCG 2019-10 rev.1 “</w:t>
      </w:r>
      <w:r>
        <w:rPr>
          <w:rFonts w:cs="Arial"/>
          <w:sz w:val="18"/>
        </w:rPr>
        <w:t>Direktiflere</w:t>
      </w:r>
      <w:r w:rsidRPr="00294BFF">
        <w:rPr>
          <w:rFonts w:cs="Arial"/>
          <w:sz w:val="18"/>
        </w:rPr>
        <w:t xml:space="preserve"> uygun olarak </w:t>
      </w:r>
      <w:r>
        <w:rPr>
          <w:rFonts w:cs="Arial"/>
          <w:sz w:val="18"/>
        </w:rPr>
        <w:t>düzenlenen</w:t>
      </w:r>
      <w:r w:rsidRPr="00294BFF">
        <w:rPr>
          <w:rFonts w:cs="Arial"/>
          <w:sz w:val="18"/>
        </w:rPr>
        <w:t xml:space="preserve"> sertifikaların geçerliliğine ilişkin geçiş hükümlerinin uygulanması” </w:t>
      </w:r>
      <w:hyperlink r:id="rId5" w:history="1">
        <w:r w:rsidRPr="00294BFF">
          <w:rPr>
            <w:rStyle w:val="Kpr"/>
            <w:rFonts w:cs="Arial"/>
            <w:sz w:val="18"/>
          </w:rPr>
          <w:t>https://health.ec.europa.eu/system/files/2020-07/md_application-transitional-provisions-certificates_en_0.pdf</w:t>
        </w:r>
      </w:hyperlink>
      <w:r w:rsidRPr="00294BFF">
        <w:rPr>
          <w:rFonts w:cs="Arial"/>
          <w:sz w:val="18"/>
        </w:rPr>
        <w:t xml:space="preserve"> </w:t>
      </w:r>
      <w:r w:rsidRPr="00294BFF" w:rsidDel="00180165">
        <w:rPr>
          <w:rFonts w:cs="Arial"/>
          <w:sz w:val="18"/>
        </w:rPr>
        <w:t xml:space="preserve"> </w:t>
      </w:r>
      <w:r w:rsidRPr="00294BFF">
        <w:rPr>
          <w:rFonts w:cs="Arial"/>
          <w:sz w:val="18"/>
        </w:rPr>
        <w:t xml:space="preserve">  </w:t>
      </w:r>
    </w:p>
  </w:footnote>
  <w:footnote w:id="10">
    <w:p w14:paraId="2EF1EE53" w14:textId="32DE53F8" w:rsidR="00CD1A99" w:rsidRDefault="00CD1A99">
      <w:pPr>
        <w:pStyle w:val="DipnotMetni"/>
      </w:pPr>
      <w:r w:rsidRPr="00556ED4">
        <w:rPr>
          <w:rStyle w:val="DipnotBavurusu"/>
          <w:rFonts w:cs="Arial"/>
          <w:sz w:val="18"/>
        </w:rPr>
        <w:footnoteRef/>
      </w:r>
      <w:r w:rsidRPr="00556ED4">
        <w:rPr>
          <w:rFonts w:cs="Arial"/>
          <w:sz w:val="18"/>
        </w:rPr>
        <w:t xml:space="preserve"> MDCG 2021-1 Rev. 1 “EUDAMED tamamen işlevsel </w:t>
      </w:r>
      <w:r w:rsidRPr="008474FB">
        <w:rPr>
          <w:rFonts w:cs="Arial"/>
          <w:sz w:val="18"/>
        </w:rPr>
        <w:t xml:space="preserve">hale gelene </w:t>
      </w:r>
      <w:r w:rsidRPr="00556ED4">
        <w:rPr>
          <w:rFonts w:cs="Arial"/>
          <w:sz w:val="18"/>
        </w:rPr>
        <w:t>kadar uyuml</w:t>
      </w:r>
      <w:r w:rsidR="00B60070">
        <w:rPr>
          <w:rFonts w:cs="Arial"/>
          <w:sz w:val="18"/>
        </w:rPr>
        <w:t>aştırılmış</w:t>
      </w:r>
      <w:r w:rsidRPr="00556ED4">
        <w:rPr>
          <w:rFonts w:cs="Arial"/>
          <w:sz w:val="18"/>
        </w:rPr>
        <w:t xml:space="preserve"> idari uygulamalar ve alternatif teknik çözümler hakkında rehber</w:t>
      </w:r>
      <w:r>
        <w:rPr>
          <w:rFonts w:cs="Arial"/>
          <w:sz w:val="18"/>
        </w:rPr>
        <w:t xml:space="preserve">” </w:t>
      </w:r>
      <w:hyperlink r:id="rId6" w:history="1">
        <w:r w:rsidRPr="006B1426">
          <w:rPr>
            <w:rStyle w:val="Kpr"/>
            <w:rFonts w:cs="Arial"/>
            <w:sz w:val="18"/>
          </w:rPr>
          <w:t>https://health.ec.europa.eu/system/files/2021-05/2021-1_guidance-administrative-practices_en_0.pdf</w:t>
        </w:r>
      </w:hyperlink>
      <w:r>
        <w:rPr>
          <w:rFonts w:cs="Arial"/>
          <w:sz w:val="18"/>
        </w:rPr>
        <w:t xml:space="preserve"> </w:t>
      </w:r>
    </w:p>
  </w:footnote>
  <w:footnote w:id="11">
    <w:p w14:paraId="61886AFB" w14:textId="07EA047B" w:rsidR="00CD1A99" w:rsidRPr="00556ED4" w:rsidRDefault="00CD1A99" w:rsidP="00F14B38">
      <w:pPr>
        <w:spacing w:after="0" w:line="240" w:lineRule="auto"/>
        <w:rPr>
          <w:rFonts w:cs="Arial"/>
          <w:sz w:val="18"/>
          <w:szCs w:val="18"/>
        </w:rPr>
      </w:pPr>
      <w:r w:rsidRPr="00556ED4">
        <w:rPr>
          <w:rStyle w:val="DipnotBavurusu"/>
          <w:rFonts w:cs="Arial"/>
          <w:sz w:val="18"/>
          <w:szCs w:val="18"/>
        </w:rPr>
        <w:footnoteRef/>
      </w:r>
      <w:r w:rsidRPr="00556ED4">
        <w:rPr>
          <w:rFonts w:cs="Arial"/>
          <w:sz w:val="18"/>
          <w:szCs w:val="18"/>
        </w:rPr>
        <w:t xml:space="preserve"> Üye Devletlerin </w:t>
      </w:r>
      <w:r w:rsidRPr="008E072D">
        <w:rPr>
          <w:rFonts w:cs="Arial"/>
          <w:sz w:val="18"/>
          <w:szCs w:val="18"/>
        </w:rPr>
        <w:t>aktör kaydı için</w:t>
      </w:r>
      <w:r w:rsidRPr="008474FB">
        <w:rPr>
          <w:rFonts w:cs="Arial"/>
          <w:sz w:val="18"/>
          <w:szCs w:val="18"/>
        </w:rPr>
        <w:t xml:space="preserve"> </w:t>
      </w:r>
      <w:r w:rsidRPr="00556ED4">
        <w:rPr>
          <w:rFonts w:cs="Arial"/>
          <w:sz w:val="18"/>
          <w:szCs w:val="18"/>
        </w:rPr>
        <w:t>EUDAMED Aktör modülü zorunlu</w:t>
      </w:r>
      <w:r>
        <w:rPr>
          <w:rFonts w:cs="Arial"/>
          <w:sz w:val="18"/>
          <w:szCs w:val="18"/>
        </w:rPr>
        <w:t xml:space="preserve">luğu getirmesi </w:t>
      </w:r>
      <w:r w:rsidRPr="00556ED4">
        <w:rPr>
          <w:rFonts w:cs="Arial"/>
          <w:sz w:val="18"/>
          <w:szCs w:val="18"/>
        </w:rPr>
        <w:t xml:space="preserve">durumunda, imalatçılar ve </w:t>
      </w:r>
      <w:r w:rsidR="00B115C4">
        <w:rPr>
          <w:rFonts w:cs="Arial"/>
          <w:sz w:val="18"/>
          <w:szCs w:val="18"/>
        </w:rPr>
        <w:t xml:space="preserve">yanı sıra </w:t>
      </w:r>
      <w:r w:rsidRPr="00556ED4">
        <w:rPr>
          <w:rFonts w:cs="Arial"/>
          <w:sz w:val="18"/>
          <w:szCs w:val="18"/>
        </w:rPr>
        <w:t xml:space="preserve">yetkili temsilciler, </w:t>
      </w:r>
      <w:r>
        <w:rPr>
          <w:rFonts w:cs="Arial"/>
          <w:sz w:val="18"/>
          <w:szCs w:val="18"/>
        </w:rPr>
        <w:t>ilgili y</w:t>
      </w:r>
      <w:r w:rsidRPr="00556ED4">
        <w:rPr>
          <w:rFonts w:cs="Arial"/>
          <w:sz w:val="18"/>
          <w:szCs w:val="18"/>
        </w:rPr>
        <w:t>etkili otoriteye kayıt</w:t>
      </w:r>
      <w:r>
        <w:rPr>
          <w:rFonts w:cs="Arial"/>
          <w:sz w:val="18"/>
          <w:szCs w:val="18"/>
        </w:rPr>
        <w:t xml:space="preserve"> talebinde </w:t>
      </w:r>
      <w:r w:rsidRPr="00556ED4">
        <w:rPr>
          <w:rFonts w:cs="Arial"/>
          <w:sz w:val="18"/>
          <w:szCs w:val="18"/>
        </w:rPr>
        <w:t xml:space="preserve"> bir gerekçe </w:t>
      </w:r>
      <w:r w:rsidR="00B115C4">
        <w:rPr>
          <w:rFonts w:cs="Arial"/>
          <w:sz w:val="18"/>
          <w:szCs w:val="18"/>
        </w:rPr>
        <w:t>sunarak</w:t>
      </w:r>
      <w:r w:rsidR="00B115C4" w:rsidRPr="00606DB1">
        <w:rPr>
          <w:rFonts w:cs="Arial"/>
          <w:sz w:val="18"/>
          <w:szCs w:val="18"/>
        </w:rPr>
        <w:t xml:space="preserve"> </w:t>
      </w:r>
      <w:r>
        <w:rPr>
          <w:rFonts w:cs="Arial"/>
          <w:sz w:val="18"/>
          <w:szCs w:val="18"/>
        </w:rPr>
        <w:t>mevzuata uyumdan</w:t>
      </w:r>
      <w:r w:rsidRPr="00E1451D">
        <w:rPr>
          <w:rFonts w:cs="Arial"/>
          <w:sz w:val="18"/>
          <w:szCs w:val="18"/>
        </w:rPr>
        <w:t xml:space="preserve"> sorumlu </w:t>
      </w:r>
      <w:r>
        <w:rPr>
          <w:rFonts w:cs="Arial"/>
          <w:sz w:val="18"/>
          <w:szCs w:val="18"/>
        </w:rPr>
        <w:t>personel ile</w:t>
      </w:r>
      <w:r w:rsidRPr="00556ED4">
        <w:rPr>
          <w:rFonts w:cs="Arial"/>
          <w:sz w:val="18"/>
          <w:szCs w:val="18"/>
        </w:rPr>
        <w:t xml:space="preserve"> ilgili bilgilerin </w:t>
      </w:r>
      <w:r>
        <w:rPr>
          <w:rFonts w:cs="Arial"/>
          <w:sz w:val="18"/>
          <w:szCs w:val="18"/>
        </w:rPr>
        <w:t>uygulanabilir</w:t>
      </w:r>
      <w:r w:rsidRPr="00556ED4">
        <w:rPr>
          <w:rFonts w:cs="Arial"/>
          <w:sz w:val="18"/>
          <w:szCs w:val="18"/>
        </w:rPr>
        <w:t xml:space="preserve"> olmadığını (örneğin “NA”) belirtebilir.</w:t>
      </w:r>
    </w:p>
  </w:footnote>
  <w:footnote w:id="12">
    <w:p w14:paraId="33919249" w14:textId="14557258" w:rsidR="00CD1A99" w:rsidRPr="00556ED4" w:rsidRDefault="00CD1A99" w:rsidP="00F14B38">
      <w:pPr>
        <w:pStyle w:val="DipnotMetni"/>
        <w:rPr>
          <w:rFonts w:cs="Arial"/>
          <w:sz w:val="18"/>
          <w:szCs w:val="18"/>
        </w:rPr>
      </w:pPr>
      <w:r w:rsidRPr="00556ED4">
        <w:rPr>
          <w:rStyle w:val="DipnotBavurusu"/>
          <w:rFonts w:cs="Arial"/>
          <w:sz w:val="18"/>
          <w:szCs w:val="18"/>
        </w:rPr>
        <w:footnoteRef/>
      </w:r>
      <w:r w:rsidRPr="00556ED4">
        <w:rPr>
          <w:rFonts w:cs="Arial"/>
          <w:sz w:val="18"/>
          <w:szCs w:val="18"/>
        </w:rPr>
        <w:t xml:space="preserve"> Bkz. </w:t>
      </w:r>
      <w:hyperlink r:id="rId7" w:history="1">
        <w:r w:rsidRPr="00556ED4">
          <w:rPr>
            <w:rStyle w:val="Kpr"/>
            <w:rFonts w:cs="Arial"/>
            <w:sz w:val="18"/>
            <w:szCs w:val="18"/>
          </w:rPr>
          <w:t>MDCG 2021-25</w:t>
        </w:r>
      </w:hyperlink>
      <w:r w:rsidRPr="00556ED4">
        <w:rPr>
          <w:rFonts w:cs="Arial"/>
          <w:sz w:val="18"/>
          <w:szCs w:val="18"/>
        </w:rPr>
        <w:t xml:space="preserve"> “(AB) 2017/745</w:t>
      </w:r>
      <w:r>
        <w:rPr>
          <w:rFonts w:cs="Arial"/>
          <w:sz w:val="18"/>
          <w:szCs w:val="18"/>
        </w:rPr>
        <w:t xml:space="preserve"> sayılı</w:t>
      </w:r>
      <w:r w:rsidRPr="00556ED4">
        <w:rPr>
          <w:rFonts w:cs="Arial"/>
          <w:sz w:val="18"/>
          <w:szCs w:val="18"/>
        </w:rPr>
        <w:t xml:space="preserve"> Tüzü</w:t>
      </w:r>
      <w:r>
        <w:rPr>
          <w:rFonts w:cs="Arial"/>
          <w:sz w:val="18"/>
          <w:szCs w:val="18"/>
        </w:rPr>
        <w:t>k</w:t>
      </w:r>
      <w:r w:rsidRPr="00556ED4">
        <w:rPr>
          <w:rFonts w:cs="Arial"/>
          <w:sz w:val="18"/>
          <w:szCs w:val="18"/>
        </w:rPr>
        <w:t xml:space="preserve">- MDR gerekliliklerinin </w:t>
      </w:r>
      <w:r>
        <w:rPr>
          <w:rFonts w:cs="Arial"/>
          <w:sz w:val="18"/>
          <w:szCs w:val="18"/>
        </w:rPr>
        <w:t>‘</w:t>
      </w:r>
      <w:r w:rsidRPr="00556ED4">
        <w:rPr>
          <w:rFonts w:cs="Arial"/>
          <w:sz w:val="18"/>
          <w:szCs w:val="18"/>
        </w:rPr>
        <w:t>kalıt cihazlara</w:t>
      </w:r>
      <w:r>
        <w:rPr>
          <w:rFonts w:cs="Arial"/>
          <w:sz w:val="18"/>
          <w:szCs w:val="18"/>
        </w:rPr>
        <w:t>’</w:t>
      </w:r>
      <w:r w:rsidRPr="00556ED4">
        <w:rPr>
          <w:rFonts w:cs="Arial"/>
          <w:sz w:val="18"/>
          <w:szCs w:val="18"/>
        </w:rPr>
        <w:t xml:space="preserve"> ve 90/385/</w:t>
      </w:r>
      <w:r>
        <w:rPr>
          <w:rFonts w:cs="Arial"/>
          <w:sz w:val="18"/>
          <w:szCs w:val="18"/>
        </w:rPr>
        <w:t>AET</w:t>
      </w:r>
      <w:r w:rsidRPr="00556ED4">
        <w:rPr>
          <w:rFonts w:cs="Arial"/>
          <w:sz w:val="18"/>
          <w:szCs w:val="18"/>
        </w:rPr>
        <w:t xml:space="preserve"> veya 93/42/</w:t>
      </w:r>
      <w:r>
        <w:rPr>
          <w:rFonts w:cs="Arial"/>
          <w:sz w:val="18"/>
          <w:szCs w:val="18"/>
        </w:rPr>
        <w:t>AET</w:t>
      </w:r>
      <w:r w:rsidRPr="00556ED4">
        <w:rPr>
          <w:rFonts w:cs="Arial"/>
          <w:sz w:val="18"/>
          <w:szCs w:val="18"/>
        </w:rPr>
        <w:t xml:space="preserve"> </w:t>
      </w:r>
      <w:r w:rsidR="00B115C4">
        <w:rPr>
          <w:rFonts w:cs="Arial"/>
          <w:sz w:val="18"/>
          <w:szCs w:val="18"/>
        </w:rPr>
        <w:t>sayılı D</w:t>
      </w:r>
      <w:r w:rsidRPr="008474FB">
        <w:rPr>
          <w:rFonts w:cs="Arial"/>
          <w:sz w:val="18"/>
          <w:szCs w:val="18"/>
        </w:rPr>
        <w:t>irektifler</w:t>
      </w:r>
      <w:r>
        <w:rPr>
          <w:rFonts w:cs="Arial"/>
          <w:sz w:val="18"/>
          <w:szCs w:val="18"/>
        </w:rPr>
        <w:t xml:space="preserve"> uy</w:t>
      </w:r>
      <w:r w:rsidR="00B115C4">
        <w:rPr>
          <w:rFonts w:cs="Arial"/>
          <w:sz w:val="18"/>
          <w:szCs w:val="18"/>
        </w:rPr>
        <w:t>arınca</w:t>
      </w:r>
      <w:r>
        <w:rPr>
          <w:rFonts w:cs="Arial"/>
          <w:sz w:val="18"/>
          <w:szCs w:val="18"/>
        </w:rPr>
        <w:t xml:space="preserve"> </w:t>
      </w:r>
      <w:r w:rsidRPr="00556ED4">
        <w:rPr>
          <w:rFonts w:cs="Arial"/>
          <w:sz w:val="18"/>
          <w:szCs w:val="18"/>
        </w:rPr>
        <w:t xml:space="preserve">26 Mayıs 2021'den önce piyasaya </w:t>
      </w:r>
      <w:r>
        <w:rPr>
          <w:rFonts w:cs="Arial"/>
          <w:sz w:val="18"/>
          <w:szCs w:val="18"/>
        </w:rPr>
        <w:t>arz edilen</w:t>
      </w:r>
      <w:r w:rsidRPr="008474FB">
        <w:rPr>
          <w:rFonts w:cs="Arial"/>
          <w:sz w:val="18"/>
          <w:szCs w:val="18"/>
        </w:rPr>
        <w:t xml:space="preserve"> </w:t>
      </w:r>
      <w:r w:rsidRPr="00556ED4">
        <w:rPr>
          <w:rFonts w:cs="Arial"/>
          <w:sz w:val="18"/>
          <w:szCs w:val="18"/>
        </w:rPr>
        <w:t xml:space="preserve">cihazlara uygulanması” </w:t>
      </w:r>
      <w:hyperlink r:id="rId8" w:history="1">
        <w:r w:rsidRPr="006B1426">
          <w:rPr>
            <w:rStyle w:val="Kpr"/>
            <w:rFonts w:cs="Arial"/>
            <w:sz w:val="18"/>
            <w:szCs w:val="18"/>
          </w:rPr>
          <w:t>https://health.ec.europa.eu/system/files/2021-10/md_mdcg_2021_25_en_0.pdf</w:t>
        </w:r>
      </w:hyperlink>
      <w:r>
        <w:rPr>
          <w:rFonts w:cs="Arial"/>
          <w:sz w:val="18"/>
          <w:szCs w:val="18"/>
        </w:rPr>
        <w:t xml:space="preserve"> </w:t>
      </w:r>
      <w:r w:rsidRPr="00AD5FDD" w:rsidDel="00AD5FDD">
        <w:rPr>
          <w:rFonts w:cs="Arial"/>
          <w:sz w:val="18"/>
          <w:szCs w:val="18"/>
        </w:rPr>
        <w:t xml:space="preserve"> </w:t>
      </w:r>
      <w:r>
        <w:rPr>
          <w:rFonts w:cs="Arial"/>
          <w:sz w:val="18"/>
          <w:szCs w:val="18"/>
        </w:rPr>
        <w:t xml:space="preserve"> </w:t>
      </w:r>
      <w:r w:rsidR="00B115C4">
        <w:rPr>
          <w:rFonts w:cs="Arial"/>
          <w:sz w:val="18"/>
        </w:rPr>
        <w:t xml:space="preserve"> </w:t>
      </w:r>
    </w:p>
  </w:footnote>
  <w:footnote w:id="13">
    <w:p w14:paraId="361F27B1" w14:textId="2D105431" w:rsidR="00CD1A99" w:rsidRPr="00556ED4" w:rsidRDefault="00CD1A99" w:rsidP="00F14B38">
      <w:pPr>
        <w:spacing w:after="0" w:line="240" w:lineRule="auto"/>
        <w:rPr>
          <w:rFonts w:cs="Arial"/>
          <w:sz w:val="18"/>
          <w:szCs w:val="18"/>
        </w:rPr>
      </w:pPr>
      <w:r w:rsidRPr="00556ED4">
        <w:rPr>
          <w:rStyle w:val="DipnotBavurusu"/>
          <w:rFonts w:cs="Arial"/>
          <w:sz w:val="18"/>
          <w:szCs w:val="18"/>
        </w:rPr>
        <w:footnoteRef/>
      </w:r>
      <w:r w:rsidRPr="00556ED4">
        <w:rPr>
          <w:rFonts w:cs="Arial"/>
          <w:sz w:val="18"/>
          <w:szCs w:val="18"/>
        </w:rPr>
        <w:t xml:space="preserve"> Bkz.</w:t>
      </w:r>
      <w:r w:rsidRPr="00EC07B5">
        <w:t xml:space="preserve"> </w:t>
      </w:r>
      <w:hyperlink r:id="rId9" w:history="1">
        <w:r w:rsidRPr="00B35EA8">
          <w:rPr>
            <w:rStyle w:val="Kpr"/>
            <w:rFonts w:cs="Arial"/>
            <w:sz w:val="18"/>
            <w:szCs w:val="18"/>
          </w:rPr>
          <w:t>https://health.ec.europa.eu/system/files/2020-09/md_mdcg_camd_mdr_en_0.pdf</w:t>
        </w:r>
      </w:hyperlink>
      <w:r>
        <w:rPr>
          <w:rFonts w:cs="Arial"/>
          <w:sz w:val="18"/>
          <w:szCs w:val="18"/>
        </w:rPr>
        <w:t xml:space="preserve"> </w:t>
      </w:r>
    </w:p>
  </w:footnote>
  <w:footnote w:id="14">
    <w:p w14:paraId="64427A0E" w14:textId="079DBF8C" w:rsidR="00CD1A99" w:rsidRDefault="00CD1A99" w:rsidP="00EC07B5">
      <w:pPr>
        <w:spacing w:after="0" w:line="240" w:lineRule="auto"/>
      </w:pPr>
      <w:r w:rsidRPr="00556ED4">
        <w:rPr>
          <w:rStyle w:val="DipnotBavurusu"/>
          <w:rFonts w:cs="Arial"/>
          <w:sz w:val="18"/>
          <w:szCs w:val="18"/>
        </w:rPr>
        <w:footnoteRef/>
      </w:r>
      <w:r w:rsidRPr="00556ED4">
        <w:rPr>
          <w:rFonts w:cs="Arial"/>
          <w:sz w:val="18"/>
          <w:szCs w:val="18"/>
        </w:rPr>
        <w:t xml:space="preserve"> Bkz. </w:t>
      </w:r>
      <w:hyperlink r:id="rId10" w:history="1">
        <w:r w:rsidRPr="00B35EA8">
          <w:rPr>
            <w:rStyle w:val="Kpr"/>
            <w:rFonts w:cs="Arial"/>
            <w:sz w:val="18"/>
            <w:szCs w:val="18"/>
          </w:rPr>
          <w:t>https://health.ec.europa.eu/medical-devices-sector/new-regulations/guidance-mdcg-endorsed-documents-and-other-guidance_en</w:t>
        </w:r>
      </w:hyperlink>
      <w:r>
        <w:rPr>
          <w:rFonts w:cs="Arial"/>
          <w:sz w:val="18"/>
          <w:szCs w:val="18"/>
        </w:rPr>
        <w:t xml:space="preserve">, özellikle </w:t>
      </w:r>
      <w:hyperlink r:id="rId11" w:history="1">
        <w:r w:rsidRPr="00B35EA8">
          <w:rPr>
            <w:rStyle w:val="Kpr"/>
            <w:rFonts w:cs="Arial"/>
            <w:sz w:val="18"/>
            <w:szCs w:val="18"/>
          </w:rPr>
          <w:t>https://health.ec.europa.eu/system/files/2020-09/md_mdcg_guidance_significant_changes_annexes_en_0.pdf</w:t>
        </w:r>
      </w:hyperlink>
      <w:r>
        <w:rPr>
          <w:rFonts w:cs="Arial"/>
          <w:sz w:val="18"/>
          <w:szCs w:val="18"/>
        </w:rPr>
        <w:t xml:space="preserve"> </w:t>
      </w:r>
    </w:p>
  </w:footnote>
  <w:footnote w:id="15">
    <w:p w14:paraId="5F8685AC" w14:textId="77777777" w:rsidR="00DB3DB7" w:rsidRPr="00556ED4" w:rsidRDefault="00DB3DB7" w:rsidP="00DB3DB7">
      <w:pPr>
        <w:pStyle w:val="DipnotMetni"/>
        <w:rPr>
          <w:rFonts w:cs="Arial"/>
          <w:sz w:val="18"/>
          <w:szCs w:val="18"/>
        </w:rPr>
      </w:pPr>
      <w:r w:rsidRPr="00556ED4">
        <w:rPr>
          <w:rStyle w:val="DipnotBavurusu"/>
          <w:rFonts w:cs="Arial"/>
          <w:sz w:val="18"/>
          <w:szCs w:val="18"/>
        </w:rPr>
        <w:footnoteRef/>
      </w:r>
      <w:r w:rsidRPr="00556ED4">
        <w:rPr>
          <w:rFonts w:cs="Arial"/>
          <w:sz w:val="18"/>
          <w:szCs w:val="18"/>
        </w:rPr>
        <w:t xml:space="preserve"> NBOG BPG 2009-4 “</w:t>
      </w:r>
      <w:r w:rsidRPr="00581C22">
        <w:rPr>
          <w:rFonts w:cs="Arial"/>
          <w:sz w:val="18"/>
          <w:szCs w:val="18"/>
        </w:rPr>
        <w:t xml:space="preserve">Onaylanmış Kuruluşun </w:t>
      </w:r>
      <w:r w:rsidRPr="00556ED4">
        <w:rPr>
          <w:rFonts w:cs="Arial"/>
          <w:sz w:val="18"/>
          <w:szCs w:val="18"/>
        </w:rPr>
        <w:t xml:space="preserve">Temsil </w:t>
      </w:r>
      <w:r>
        <w:rPr>
          <w:rFonts w:cs="Arial"/>
          <w:sz w:val="18"/>
          <w:szCs w:val="18"/>
        </w:rPr>
        <w:t>Bazında</w:t>
      </w:r>
      <w:r w:rsidRPr="00646366">
        <w:rPr>
          <w:rFonts w:cs="Arial"/>
          <w:sz w:val="18"/>
          <w:szCs w:val="18"/>
        </w:rPr>
        <w:t xml:space="preserve"> </w:t>
      </w:r>
      <w:r w:rsidRPr="00556ED4">
        <w:rPr>
          <w:rFonts w:cs="Arial"/>
          <w:sz w:val="18"/>
          <w:szCs w:val="18"/>
        </w:rPr>
        <w:t>Teknik Dokümantasyon Değerlendirmesi</w:t>
      </w:r>
      <w:r>
        <w:rPr>
          <w:rFonts w:cs="Arial"/>
          <w:sz w:val="18"/>
          <w:szCs w:val="18"/>
        </w:rPr>
        <w:t xml:space="preserve"> Yükümlülüklerine</w:t>
      </w:r>
      <w:r w:rsidRPr="00646366">
        <w:rPr>
          <w:rFonts w:cs="Arial"/>
          <w:sz w:val="18"/>
          <w:szCs w:val="18"/>
        </w:rPr>
        <w:t xml:space="preserve"> </w:t>
      </w:r>
      <w:r w:rsidRPr="00556ED4">
        <w:rPr>
          <w:rFonts w:cs="Arial"/>
          <w:sz w:val="18"/>
          <w:szCs w:val="18"/>
        </w:rPr>
        <w:t xml:space="preserve">İlişkin </w:t>
      </w:r>
      <w:r>
        <w:rPr>
          <w:rFonts w:cs="Arial"/>
          <w:sz w:val="18"/>
          <w:szCs w:val="18"/>
        </w:rPr>
        <w:t>Rehber</w:t>
      </w:r>
      <w:r w:rsidRPr="00556ED4">
        <w:rPr>
          <w:rFonts w:cs="Arial"/>
          <w:sz w:val="18"/>
          <w:szCs w:val="18"/>
        </w:rPr>
        <w:t xml:space="preserve">” </w:t>
      </w:r>
      <w:hyperlink r:id="rId12" w:history="1">
        <w:r w:rsidRPr="00243CBD">
          <w:rPr>
            <w:rStyle w:val="Kpr"/>
            <w:rFonts w:cs="Arial"/>
            <w:sz w:val="18"/>
            <w:szCs w:val="18"/>
          </w:rPr>
          <w:t>http://www.doks.nbog.eu/Doks/NBOG_BPG_2009_4_EN.pdf</w:t>
        </w:r>
      </w:hyperlink>
      <w:r>
        <w:rPr>
          <w:rFonts w:cs="Arial"/>
          <w:sz w:val="18"/>
          <w:szCs w:val="18"/>
        </w:rPr>
        <w:t xml:space="preserve"> </w:t>
      </w:r>
      <w:r w:rsidRPr="00F821E7" w:rsidDel="00F821E7">
        <w:rPr>
          <w:rFonts w:cs="Arial"/>
          <w:sz w:val="18"/>
          <w:szCs w:val="18"/>
        </w:rPr>
        <w:t xml:space="preserve"> </w:t>
      </w:r>
    </w:p>
  </w:footnote>
  <w:footnote w:id="16">
    <w:p w14:paraId="7381DA9C" w14:textId="3B44B162" w:rsidR="009B7D67" w:rsidRDefault="009B7D67" w:rsidP="009B7D67">
      <w:pPr>
        <w:pStyle w:val="DipnotMetni"/>
      </w:pPr>
      <w:r>
        <w:rPr>
          <w:rStyle w:val="DipnotBavurusu"/>
        </w:rPr>
        <w:footnoteRef/>
      </w:r>
      <w:r>
        <w:t xml:space="preserve"> MDCG 2020-3</w:t>
      </w:r>
      <w:r w:rsidR="001D0378">
        <w:t>’e</w:t>
      </w:r>
      <w:r>
        <w:t xml:space="preserve"> </w:t>
      </w:r>
      <w:r w:rsidR="001D0378">
        <w:t>uygun</w:t>
      </w:r>
      <w:r>
        <w:t xml:space="preserve"> </w:t>
      </w:r>
      <w:r w:rsidR="001D0378">
        <w:t xml:space="preserve">olarak, </w:t>
      </w:r>
      <w:r>
        <w:t xml:space="preserve">onaylanmış kuruluşların yeni MDD veya AIMDD sertifikaları </w:t>
      </w:r>
      <w:r w:rsidR="001D0378">
        <w:t>düzenlemesine</w:t>
      </w:r>
      <w:r>
        <w:t xml:space="preserve"> izin verilmemektedir.</w:t>
      </w:r>
    </w:p>
    <w:p w14:paraId="74D8E3DF" w14:textId="57AC76DA" w:rsidR="009B7D67" w:rsidRDefault="009B7D67" w:rsidP="009B7D67">
      <w:pPr>
        <w:pStyle w:val="DipnotMetni"/>
      </w:pPr>
      <w:r>
        <w:t>Listelenen sertifika değişiklikleri yazılı kararlar / beyanlar olarak iletilmelidir.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5A957" w14:textId="3703353A" w:rsidR="00CD1A99" w:rsidRDefault="00821ABF">
    <w:pPr>
      <w:pStyle w:val="stBilgi"/>
    </w:pPr>
    <w:r>
      <w:rPr>
        <w:noProof/>
      </w:rPr>
      <w:pict w14:anchorId="2C0AE2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4486579" o:spid="_x0000_s2053" type="#_x0000_t136" style="position:absolute;left:0;text-align:left;margin-left:0;margin-top:0;width:426.35pt;height:213.15pt;rotation:315;z-index:-251655168;mso-position-horizontal:center;mso-position-horizontal-relative:margin;mso-position-vertical:center;mso-position-vertical-relative:margin" o:allowincell="f" fillcolor="silver" stroked="f">
          <v:fill opacity=".5"/>
          <v:textpath style="font-family:&quot;Calibri&quot;;font-size:1pt" string="ÇEVİRİ"/>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2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4"/>
      <w:gridCol w:w="3090"/>
    </w:tblGrid>
    <w:tr w:rsidR="00CD1A99" w14:paraId="7EF83FC5" w14:textId="77777777" w:rsidTr="00A01DD7">
      <w:tc>
        <w:tcPr>
          <w:tcW w:w="6124" w:type="dxa"/>
        </w:tcPr>
        <w:p w14:paraId="24C44DAF" w14:textId="1A620899" w:rsidR="00CD1A99" w:rsidRPr="00556ED4" w:rsidRDefault="00CD1A99" w:rsidP="00B1770C">
          <w:pPr>
            <w:rPr>
              <w:rFonts w:eastAsia="Arial" w:cs="Arial"/>
              <w:b/>
              <w:color w:val="002060"/>
              <w:sz w:val="28"/>
              <w:szCs w:val="28"/>
            </w:rPr>
          </w:pPr>
          <w:r w:rsidRPr="00556ED4">
            <w:rPr>
              <w:rFonts w:eastAsia="Arial" w:cs="Arial"/>
              <w:b/>
              <w:color w:val="002060"/>
              <w:sz w:val="28"/>
              <w:szCs w:val="28"/>
            </w:rPr>
            <w:t xml:space="preserve">Tıbbi Cihazlar </w:t>
          </w:r>
        </w:p>
      </w:tc>
      <w:tc>
        <w:tcPr>
          <w:tcW w:w="3090" w:type="dxa"/>
          <w:vAlign w:val="center"/>
        </w:tcPr>
        <w:p w14:paraId="19E4F0D8" w14:textId="77777777" w:rsidR="00CD1A99" w:rsidRPr="00556ED4" w:rsidRDefault="00CD1A99" w:rsidP="00B1770C">
          <w:pPr>
            <w:jc w:val="right"/>
            <w:rPr>
              <w:rFonts w:eastAsia="Arial" w:cs="Arial"/>
              <w:b/>
              <w:color w:val="002060"/>
              <w:sz w:val="28"/>
              <w:szCs w:val="28"/>
            </w:rPr>
          </w:pPr>
        </w:p>
      </w:tc>
    </w:tr>
    <w:tr w:rsidR="00CD1A99" w:rsidRPr="00007C87" w14:paraId="175F5F52" w14:textId="77777777" w:rsidTr="00A01DD7">
      <w:tc>
        <w:tcPr>
          <w:tcW w:w="6124" w:type="dxa"/>
          <w:tcBorders>
            <w:bottom w:val="single" w:sz="8" w:space="0" w:color="auto"/>
          </w:tcBorders>
          <w:vAlign w:val="center"/>
        </w:tcPr>
        <w:p w14:paraId="14B35657" w14:textId="77777777" w:rsidR="00CD1A99" w:rsidRPr="00556ED4" w:rsidRDefault="00CD1A99" w:rsidP="00B1770C">
          <w:pPr>
            <w:rPr>
              <w:rFonts w:eastAsia="Arial" w:cs="Arial"/>
              <w:b/>
              <w:color w:val="002060"/>
              <w:szCs w:val="28"/>
            </w:rPr>
          </w:pPr>
          <w:r w:rsidRPr="00556ED4">
            <w:rPr>
              <w:rFonts w:eastAsia="Arial" w:cs="Arial"/>
              <w:color w:val="002060"/>
              <w:szCs w:val="28"/>
            </w:rPr>
            <w:t>Tıbbi Cihaz Koordinasyon Grubu Dokümanı</w:t>
          </w:r>
        </w:p>
      </w:tc>
      <w:tc>
        <w:tcPr>
          <w:tcW w:w="3090" w:type="dxa"/>
          <w:tcBorders>
            <w:bottom w:val="single" w:sz="8" w:space="0" w:color="auto"/>
          </w:tcBorders>
          <w:vAlign w:val="center"/>
        </w:tcPr>
        <w:p w14:paraId="3F03FF21" w14:textId="70F07869" w:rsidR="00CD1A99" w:rsidRPr="00556ED4" w:rsidRDefault="00CD1A99" w:rsidP="00A57F8F">
          <w:pPr>
            <w:jc w:val="right"/>
            <w:rPr>
              <w:rFonts w:eastAsia="Arial" w:cs="Arial"/>
              <w:color w:val="002060"/>
              <w:szCs w:val="28"/>
            </w:rPr>
          </w:pPr>
          <w:r w:rsidRPr="00556ED4">
            <w:rPr>
              <w:rFonts w:eastAsia="Arial" w:cs="Arial"/>
              <w:color w:val="002060"/>
              <w:szCs w:val="28"/>
            </w:rPr>
            <w:t>MDCG 2022-4</w:t>
          </w:r>
          <w:r w:rsidR="00C00031">
            <w:rPr>
              <w:rFonts w:eastAsia="Arial" w:cs="Arial"/>
              <w:color w:val="002060"/>
              <w:szCs w:val="28"/>
            </w:rPr>
            <w:t xml:space="preserve"> – Rev.1</w:t>
          </w:r>
        </w:p>
      </w:tc>
    </w:tr>
    <w:tr w:rsidR="00CD1A99" w14:paraId="77A72BC4" w14:textId="77777777" w:rsidTr="00A01DD7">
      <w:trPr>
        <w:trHeight w:val="340"/>
      </w:trPr>
      <w:tc>
        <w:tcPr>
          <w:tcW w:w="6124" w:type="dxa"/>
          <w:tcBorders>
            <w:top w:val="single" w:sz="8" w:space="0" w:color="auto"/>
          </w:tcBorders>
        </w:tcPr>
        <w:p w14:paraId="40D88775" w14:textId="77777777" w:rsidR="00CD1A99" w:rsidRPr="00556ED4" w:rsidRDefault="00CD1A99" w:rsidP="00B1770C">
          <w:pPr>
            <w:spacing w:before="60"/>
            <w:rPr>
              <w:rFonts w:eastAsia="Arial" w:cs="Arial"/>
              <w:b/>
              <w:color w:val="002060"/>
              <w:sz w:val="16"/>
              <w:szCs w:val="16"/>
            </w:rPr>
          </w:pPr>
          <w:r w:rsidRPr="00556ED4">
            <w:rPr>
              <w:rFonts w:eastAsia="Arial" w:cs="Arial"/>
              <w:color w:val="002060"/>
              <w:sz w:val="16"/>
              <w:szCs w:val="16"/>
            </w:rPr>
            <w:t>(</w:t>
          </w:r>
          <w:r w:rsidRPr="00556ED4">
            <w:rPr>
              <w:rFonts w:cs="Arial"/>
              <w:sz w:val="16"/>
              <w:szCs w:val="16"/>
            </w:rPr>
            <w:t>Translated guidance by Turkish Medicines and Medical Devices Agency)</w:t>
          </w:r>
        </w:p>
      </w:tc>
      <w:tc>
        <w:tcPr>
          <w:tcW w:w="3090" w:type="dxa"/>
          <w:tcBorders>
            <w:top w:val="single" w:sz="8" w:space="0" w:color="auto"/>
          </w:tcBorders>
        </w:tcPr>
        <w:p w14:paraId="4DD175F6" w14:textId="77777777" w:rsidR="00CD1A99" w:rsidRPr="00167AD0" w:rsidRDefault="00CD1A99" w:rsidP="00B1770C">
          <w:pPr>
            <w:rPr>
              <w:rFonts w:ascii="Times New Roman" w:eastAsia="Arial" w:hAnsi="Times New Roman" w:cs="Times New Roman"/>
              <w:b/>
              <w:color w:val="002060"/>
            </w:rPr>
          </w:pPr>
        </w:p>
      </w:tc>
    </w:tr>
  </w:tbl>
  <w:p w14:paraId="0B043722" w14:textId="11B7247A" w:rsidR="00CD1A99" w:rsidRDefault="00CD1A99" w:rsidP="00B1770C">
    <w:pPr>
      <w:pStyle w:val="stBilgi"/>
      <w:tabs>
        <w:tab w:val="clear" w:pos="4536"/>
        <w:tab w:val="clear" w:pos="9072"/>
        <w:tab w:val="left" w:pos="180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09E49" w14:textId="49298D0E" w:rsidR="00CD1A99" w:rsidRDefault="00821ABF">
    <w:pPr>
      <w:pStyle w:val="stBilgi"/>
    </w:pPr>
    <w:r>
      <w:rPr>
        <w:noProof/>
      </w:rPr>
      <w:pict w14:anchorId="17D7B4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4486578" o:spid="_x0000_s2052" type="#_x0000_t136" style="position:absolute;left:0;text-align:left;margin-left:0;margin-top:0;width:426.35pt;height:213.15pt;rotation:315;z-index:-251657216;mso-position-horizontal:center;mso-position-horizontal-relative:margin;mso-position-vertical:center;mso-position-vertical-relative:margin" o:allowincell="f" fillcolor="silver" stroked="f">
          <v:fill opacity=".5"/>
          <v:textpath style="font-family:&quot;Calibri&quot;;font-size:1pt" string="ÇEVİRİ"/>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475C7"/>
    <w:multiLevelType w:val="hybridMultilevel"/>
    <w:tmpl w:val="34A8812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56624E3"/>
    <w:multiLevelType w:val="hybridMultilevel"/>
    <w:tmpl w:val="19228C6E"/>
    <w:lvl w:ilvl="0" w:tplc="92569A5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5A80AFE"/>
    <w:multiLevelType w:val="hybridMultilevel"/>
    <w:tmpl w:val="7972AD24"/>
    <w:lvl w:ilvl="0" w:tplc="CF9AFA9A">
      <w:start w:val="1"/>
      <w:numFmt w:val="decimal"/>
      <w:pStyle w:val="Balk2"/>
      <w:lvlText w:val="5.%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8472131"/>
    <w:multiLevelType w:val="hybridMultilevel"/>
    <w:tmpl w:val="D5F821E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E8B02F7"/>
    <w:multiLevelType w:val="hybridMultilevel"/>
    <w:tmpl w:val="C3A4FB78"/>
    <w:lvl w:ilvl="0" w:tplc="B4BC18C2">
      <w:start w:val="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23179C2"/>
    <w:multiLevelType w:val="hybridMultilevel"/>
    <w:tmpl w:val="B25E551E"/>
    <w:lvl w:ilvl="0" w:tplc="482C350A">
      <w:start w:val="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D4F40BC"/>
    <w:multiLevelType w:val="hybridMultilevel"/>
    <w:tmpl w:val="37727D7C"/>
    <w:lvl w:ilvl="0" w:tplc="96001AC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782080D"/>
    <w:multiLevelType w:val="hybridMultilevel"/>
    <w:tmpl w:val="076C3D88"/>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4E636A4A"/>
    <w:multiLevelType w:val="hybridMultilevel"/>
    <w:tmpl w:val="BB1E04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774335D"/>
    <w:multiLevelType w:val="hybridMultilevel"/>
    <w:tmpl w:val="82C2F1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2CA3654"/>
    <w:multiLevelType w:val="hybridMultilevel"/>
    <w:tmpl w:val="03A8B6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A82557C"/>
    <w:multiLevelType w:val="hybridMultilevel"/>
    <w:tmpl w:val="B29A2C3C"/>
    <w:lvl w:ilvl="0" w:tplc="02A2553E">
      <w:start w:val="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16578AC"/>
    <w:multiLevelType w:val="hybridMultilevel"/>
    <w:tmpl w:val="87D696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5BD30B6"/>
    <w:multiLevelType w:val="multilevel"/>
    <w:tmpl w:val="E660726C"/>
    <w:lvl w:ilvl="0">
      <w:start w:val="1"/>
      <w:numFmt w:val="decimal"/>
      <w:pStyle w:val="Balk1"/>
      <w:lvlText w:val="%1"/>
      <w:lvlJc w:val="left"/>
      <w:pPr>
        <w:ind w:left="720" w:hanging="360"/>
      </w:pPr>
      <w:rPr>
        <w:rFonts w:hint="default"/>
      </w:r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1"/>
  </w:num>
  <w:num w:numId="2">
    <w:abstractNumId w:val="10"/>
  </w:num>
  <w:num w:numId="3">
    <w:abstractNumId w:val="0"/>
  </w:num>
  <w:num w:numId="4">
    <w:abstractNumId w:val="3"/>
  </w:num>
  <w:num w:numId="5">
    <w:abstractNumId w:val="8"/>
  </w:num>
  <w:num w:numId="6">
    <w:abstractNumId w:val="9"/>
  </w:num>
  <w:num w:numId="7">
    <w:abstractNumId w:val="6"/>
  </w:num>
  <w:num w:numId="8">
    <w:abstractNumId w:val="1"/>
  </w:num>
  <w:num w:numId="9">
    <w:abstractNumId w:val="13"/>
  </w:num>
  <w:num w:numId="10">
    <w:abstractNumId w:val="2"/>
  </w:num>
  <w:num w:numId="11">
    <w:abstractNumId w:val="5"/>
  </w:num>
  <w:num w:numId="12">
    <w:abstractNumId w:val="4"/>
  </w:num>
  <w:num w:numId="13">
    <w:abstractNumId w:val="2"/>
    <w:lvlOverride w:ilvl="0">
      <w:startOverride w:val="1"/>
    </w:lvlOverride>
  </w:num>
  <w:num w:numId="14">
    <w:abstractNumId w:val="7"/>
  </w:num>
  <w:num w:numId="15">
    <w:abstractNumId w:val="12"/>
  </w:num>
  <w:num w:numId="16">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ocumentProtection w:edit="readOnly" w:formatting="1" w:enforcement="1" w:cryptProviderType="rsaAES" w:cryptAlgorithmClass="hash" w:cryptAlgorithmType="typeAny" w:cryptAlgorithmSid="14" w:cryptSpinCount="100000" w:hash="J0lJ45TnAer/cETLR8FnPoJYV2cGxgwDa1SuFgIZaF2Bp3GEbVrQF5pSzZUM4xaZzVQetXy1S45JsXMwmw/vig==" w:salt="zgliRv7ow2ThCsEN8dxSUg=="/>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1E7"/>
    <w:rsid w:val="00007C87"/>
    <w:rsid w:val="000100B6"/>
    <w:rsid w:val="00027238"/>
    <w:rsid w:val="00042A1B"/>
    <w:rsid w:val="000447B4"/>
    <w:rsid w:val="00053196"/>
    <w:rsid w:val="00064CF6"/>
    <w:rsid w:val="0006584A"/>
    <w:rsid w:val="00070B00"/>
    <w:rsid w:val="000769D8"/>
    <w:rsid w:val="00090EEE"/>
    <w:rsid w:val="00096180"/>
    <w:rsid w:val="000A05D6"/>
    <w:rsid w:val="000A0657"/>
    <w:rsid w:val="000A1531"/>
    <w:rsid w:val="000B5E6B"/>
    <w:rsid w:val="000D44DC"/>
    <w:rsid w:val="000D6542"/>
    <w:rsid w:val="000E1AFB"/>
    <w:rsid w:val="000E23DA"/>
    <w:rsid w:val="000E6476"/>
    <w:rsid w:val="000F03A9"/>
    <w:rsid w:val="000F1636"/>
    <w:rsid w:val="00101CE3"/>
    <w:rsid w:val="00150EF4"/>
    <w:rsid w:val="00152541"/>
    <w:rsid w:val="00160483"/>
    <w:rsid w:val="00180165"/>
    <w:rsid w:val="00183AD8"/>
    <w:rsid w:val="00194705"/>
    <w:rsid w:val="001A5A8B"/>
    <w:rsid w:val="001B2F52"/>
    <w:rsid w:val="001C29E5"/>
    <w:rsid w:val="001C6AF0"/>
    <w:rsid w:val="001D0378"/>
    <w:rsid w:val="001D101F"/>
    <w:rsid w:val="00206732"/>
    <w:rsid w:val="00217502"/>
    <w:rsid w:val="002227F5"/>
    <w:rsid w:val="002239BD"/>
    <w:rsid w:val="002371CA"/>
    <w:rsid w:val="00241DCB"/>
    <w:rsid w:val="002801D4"/>
    <w:rsid w:val="00294BFF"/>
    <w:rsid w:val="002A620D"/>
    <w:rsid w:val="002C647B"/>
    <w:rsid w:val="002D577A"/>
    <w:rsid w:val="002D6B5B"/>
    <w:rsid w:val="002E3DFB"/>
    <w:rsid w:val="002E6B98"/>
    <w:rsid w:val="002E785C"/>
    <w:rsid w:val="002F55F3"/>
    <w:rsid w:val="002F6423"/>
    <w:rsid w:val="002F78B6"/>
    <w:rsid w:val="0035632A"/>
    <w:rsid w:val="00366119"/>
    <w:rsid w:val="00372EA1"/>
    <w:rsid w:val="003731A3"/>
    <w:rsid w:val="003769EC"/>
    <w:rsid w:val="003B1C62"/>
    <w:rsid w:val="003C107C"/>
    <w:rsid w:val="003E3434"/>
    <w:rsid w:val="003F1238"/>
    <w:rsid w:val="003F472C"/>
    <w:rsid w:val="003F6459"/>
    <w:rsid w:val="004004C5"/>
    <w:rsid w:val="00415FA6"/>
    <w:rsid w:val="0042288C"/>
    <w:rsid w:val="0043120E"/>
    <w:rsid w:val="00436B83"/>
    <w:rsid w:val="00451AC2"/>
    <w:rsid w:val="0047690B"/>
    <w:rsid w:val="004850A3"/>
    <w:rsid w:val="00492E59"/>
    <w:rsid w:val="00495205"/>
    <w:rsid w:val="00495873"/>
    <w:rsid w:val="004A5FD8"/>
    <w:rsid w:val="004A66B6"/>
    <w:rsid w:val="004B2D0B"/>
    <w:rsid w:val="004C135D"/>
    <w:rsid w:val="004C4976"/>
    <w:rsid w:val="004C7E7E"/>
    <w:rsid w:val="004F22A2"/>
    <w:rsid w:val="00505440"/>
    <w:rsid w:val="00514B8D"/>
    <w:rsid w:val="00516ADD"/>
    <w:rsid w:val="00523BA1"/>
    <w:rsid w:val="00524CE6"/>
    <w:rsid w:val="00524FAB"/>
    <w:rsid w:val="00530A43"/>
    <w:rsid w:val="005320DD"/>
    <w:rsid w:val="00546694"/>
    <w:rsid w:val="00556ED4"/>
    <w:rsid w:val="00570016"/>
    <w:rsid w:val="005726BD"/>
    <w:rsid w:val="005728E2"/>
    <w:rsid w:val="00587620"/>
    <w:rsid w:val="005A1827"/>
    <w:rsid w:val="005A34A7"/>
    <w:rsid w:val="005A520B"/>
    <w:rsid w:val="005A6AFC"/>
    <w:rsid w:val="005C46C8"/>
    <w:rsid w:val="005D6CF0"/>
    <w:rsid w:val="005E32DE"/>
    <w:rsid w:val="00606DB1"/>
    <w:rsid w:val="006150B0"/>
    <w:rsid w:val="00630041"/>
    <w:rsid w:val="0063032E"/>
    <w:rsid w:val="0064286C"/>
    <w:rsid w:val="00646366"/>
    <w:rsid w:val="00656349"/>
    <w:rsid w:val="00671DF1"/>
    <w:rsid w:val="006A1560"/>
    <w:rsid w:val="006A39E4"/>
    <w:rsid w:val="006A44DA"/>
    <w:rsid w:val="006B164D"/>
    <w:rsid w:val="006B676B"/>
    <w:rsid w:val="006C200E"/>
    <w:rsid w:val="006D116B"/>
    <w:rsid w:val="006D454D"/>
    <w:rsid w:val="006D547A"/>
    <w:rsid w:val="006E46D2"/>
    <w:rsid w:val="006F44F8"/>
    <w:rsid w:val="006F4834"/>
    <w:rsid w:val="007050A9"/>
    <w:rsid w:val="0073408E"/>
    <w:rsid w:val="00741E3E"/>
    <w:rsid w:val="00747885"/>
    <w:rsid w:val="0075456B"/>
    <w:rsid w:val="0077485C"/>
    <w:rsid w:val="007842AE"/>
    <w:rsid w:val="00785E53"/>
    <w:rsid w:val="00792928"/>
    <w:rsid w:val="0079600C"/>
    <w:rsid w:val="007A7E3A"/>
    <w:rsid w:val="007B351D"/>
    <w:rsid w:val="007C252D"/>
    <w:rsid w:val="007D01E6"/>
    <w:rsid w:val="007F4262"/>
    <w:rsid w:val="00802E6C"/>
    <w:rsid w:val="00821ABF"/>
    <w:rsid w:val="00833218"/>
    <w:rsid w:val="008369FF"/>
    <w:rsid w:val="008370F4"/>
    <w:rsid w:val="008474FB"/>
    <w:rsid w:val="00851026"/>
    <w:rsid w:val="00851121"/>
    <w:rsid w:val="00852BAF"/>
    <w:rsid w:val="00862764"/>
    <w:rsid w:val="00873EB5"/>
    <w:rsid w:val="00881BAA"/>
    <w:rsid w:val="0089366B"/>
    <w:rsid w:val="008B7324"/>
    <w:rsid w:val="008B7F71"/>
    <w:rsid w:val="008C3494"/>
    <w:rsid w:val="0090345B"/>
    <w:rsid w:val="0090483F"/>
    <w:rsid w:val="00907CBE"/>
    <w:rsid w:val="00914D1C"/>
    <w:rsid w:val="00924E1C"/>
    <w:rsid w:val="00936BF5"/>
    <w:rsid w:val="00940486"/>
    <w:rsid w:val="009430F3"/>
    <w:rsid w:val="00947C23"/>
    <w:rsid w:val="00974769"/>
    <w:rsid w:val="009B1B00"/>
    <w:rsid w:val="009B7B15"/>
    <w:rsid w:val="009B7D67"/>
    <w:rsid w:val="009C698F"/>
    <w:rsid w:val="009D0D38"/>
    <w:rsid w:val="009D2002"/>
    <w:rsid w:val="009D2323"/>
    <w:rsid w:val="009D6020"/>
    <w:rsid w:val="009E7640"/>
    <w:rsid w:val="00A01DD7"/>
    <w:rsid w:val="00A27624"/>
    <w:rsid w:val="00A30343"/>
    <w:rsid w:val="00A31B23"/>
    <w:rsid w:val="00A44A80"/>
    <w:rsid w:val="00A46F7E"/>
    <w:rsid w:val="00A57F8F"/>
    <w:rsid w:val="00A80415"/>
    <w:rsid w:val="00AA523C"/>
    <w:rsid w:val="00AA7502"/>
    <w:rsid w:val="00AB1537"/>
    <w:rsid w:val="00AD4F6A"/>
    <w:rsid w:val="00AD53DE"/>
    <w:rsid w:val="00AD5FDD"/>
    <w:rsid w:val="00AE3665"/>
    <w:rsid w:val="00AE40FF"/>
    <w:rsid w:val="00AE4CCE"/>
    <w:rsid w:val="00AE5ECA"/>
    <w:rsid w:val="00AF0313"/>
    <w:rsid w:val="00AF413E"/>
    <w:rsid w:val="00AF4406"/>
    <w:rsid w:val="00B115C4"/>
    <w:rsid w:val="00B1770C"/>
    <w:rsid w:val="00B21887"/>
    <w:rsid w:val="00B261DA"/>
    <w:rsid w:val="00B3106D"/>
    <w:rsid w:val="00B324E3"/>
    <w:rsid w:val="00B464CB"/>
    <w:rsid w:val="00B60070"/>
    <w:rsid w:val="00B61DA6"/>
    <w:rsid w:val="00B724A2"/>
    <w:rsid w:val="00B761A2"/>
    <w:rsid w:val="00B93859"/>
    <w:rsid w:val="00BB729C"/>
    <w:rsid w:val="00BC164E"/>
    <w:rsid w:val="00BD122E"/>
    <w:rsid w:val="00BD323B"/>
    <w:rsid w:val="00BD375D"/>
    <w:rsid w:val="00BD3F9E"/>
    <w:rsid w:val="00BD673D"/>
    <w:rsid w:val="00BE1381"/>
    <w:rsid w:val="00C00031"/>
    <w:rsid w:val="00C077F7"/>
    <w:rsid w:val="00C16328"/>
    <w:rsid w:val="00C17514"/>
    <w:rsid w:val="00C52701"/>
    <w:rsid w:val="00C6402A"/>
    <w:rsid w:val="00C713F7"/>
    <w:rsid w:val="00C76FF4"/>
    <w:rsid w:val="00C86E47"/>
    <w:rsid w:val="00C902EA"/>
    <w:rsid w:val="00C9321A"/>
    <w:rsid w:val="00C94A50"/>
    <w:rsid w:val="00CC0E2D"/>
    <w:rsid w:val="00CC2416"/>
    <w:rsid w:val="00CC3635"/>
    <w:rsid w:val="00CD1A99"/>
    <w:rsid w:val="00CD239C"/>
    <w:rsid w:val="00CD2459"/>
    <w:rsid w:val="00CD4921"/>
    <w:rsid w:val="00CD5E5C"/>
    <w:rsid w:val="00CE0288"/>
    <w:rsid w:val="00CE20D2"/>
    <w:rsid w:val="00CE33C3"/>
    <w:rsid w:val="00CF2357"/>
    <w:rsid w:val="00CF2EC7"/>
    <w:rsid w:val="00CF4EDB"/>
    <w:rsid w:val="00D053A8"/>
    <w:rsid w:val="00D15EFC"/>
    <w:rsid w:val="00D20AE8"/>
    <w:rsid w:val="00D237E9"/>
    <w:rsid w:val="00D24A98"/>
    <w:rsid w:val="00D26894"/>
    <w:rsid w:val="00D55A52"/>
    <w:rsid w:val="00D5629E"/>
    <w:rsid w:val="00D713AC"/>
    <w:rsid w:val="00D73BA9"/>
    <w:rsid w:val="00D77F7D"/>
    <w:rsid w:val="00D868F2"/>
    <w:rsid w:val="00D9453E"/>
    <w:rsid w:val="00DB3168"/>
    <w:rsid w:val="00DB3DB7"/>
    <w:rsid w:val="00DE6249"/>
    <w:rsid w:val="00DE7C9D"/>
    <w:rsid w:val="00DF3C14"/>
    <w:rsid w:val="00E028E4"/>
    <w:rsid w:val="00E1557D"/>
    <w:rsid w:val="00E23861"/>
    <w:rsid w:val="00E25AE8"/>
    <w:rsid w:val="00E344E3"/>
    <w:rsid w:val="00E429EB"/>
    <w:rsid w:val="00E42D9F"/>
    <w:rsid w:val="00E450F3"/>
    <w:rsid w:val="00E535FD"/>
    <w:rsid w:val="00E57672"/>
    <w:rsid w:val="00E64A15"/>
    <w:rsid w:val="00E83672"/>
    <w:rsid w:val="00EA6F1F"/>
    <w:rsid w:val="00EB1B1F"/>
    <w:rsid w:val="00EC07B5"/>
    <w:rsid w:val="00EE063B"/>
    <w:rsid w:val="00EE3908"/>
    <w:rsid w:val="00EE51A1"/>
    <w:rsid w:val="00F12D42"/>
    <w:rsid w:val="00F132A9"/>
    <w:rsid w:val="00F14B38"/>
    <w:rsid w:val="00F20FC4"/>
    <w:rsid w:val="00F319A7"/>
    <w:rsid w:val="00F335E5"/>
    <w:rsid w:val="00F43DD8"/>
    <w:rsid w:val="00F46819"/>
    <w:rsid w:val="00F61E45"/>
    <w:rsid w:val="00F63116"/>
    <w:rsid w:val="00F73287"/>
    <w:rsid w:val="00F80058"/>
    <w:rsid w:val="00F803B1"/>
    <w:rsid w:val="00F821E7"/>
    <w:rsid w:val="00F84350"/>
    <w:rsid w:val="00FA45C1"/>
    <w:rsid w:val="00FA4DA6"/>
    <w:rsid w:val="00FA6614"/>
    <w:rsid w:val="00FB222F"/>
    <w:rsid w:val="00FB28D2"/>
    <w:rsid w:val="00FB68A6"/>
    <w:rsid w:val="00FD025C"/>
    <w:rsid w:val="00FD2B7C"/>
    <w:rsid w:val="00FD7490"/>
    <w:rsid w:val="00FE0F30"/>
    <w:rsid w:val="00FF51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694A82C"/>
  <w15:docId w15:val="{87CD6B30-E678-D34D-94A8-B00203055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357"/>
    <w:pPr>
      <w:spacing w:after="120"/>
      <w:jc w:val="both"/>
    </w:pPr>
    <w:rPr>
      <w:rFonts w:ascii="Arial" w:hAnsi="Arial"/>
      <w:sz w:val="24"/>
    </w:rPr>
  </w:style>
  <w:style w:type="paragraph" w:styleId="Balk1">
    <w:name w:val="heading 1"/>
    <w:basedOn w:val="Normal"/>
    <w:next w:val="Normal"/>
    <w:link w:val="Balk1Char"/>
    <w:uiPriority w:val="9"/>
    <w:qFormat/>
    <w:rsid w:val="004C4976"/>
    <w:pPr>
      <w:keepNext/>
      <w:keepLines/>
      <w:numPr>
        <w:numId w:val="9"/>
      </w:numPr>
      <w:spacing w:before="240" w:after="160"/>
      <w:outlineLvl w:val="0"/>
    </w:pPr>
    <w:rPr>
      <w:rFonts w:eastAsiaTheme="majorEastAsia" w:cstheme="majorBidi"/>
      <w:b/>
      <w:szCs w:val="32"/>
    </w:rPr>
  </w:style>
  <w:style w:type="paragraph" w:styleId="Balk2">
    <w:name w:val="heading 2"/>
    <w:basedOn w:val="Normal"/>
    <w:next w:val="Normal"/>
    <w:link w:val="Balk2Char"/>
    <w:uiPriority w:val="9"/>
    <w:unhideWhenUsed/>
    <w:qFormat/>
    <w:rsid w:val="004C4976"/>
    <w:pPr>
      <w:keepNext/>
      <w:keepLines/>
      <w:numPr>
        <w:numId w:val="10"/>
      </w:numPr>
      <w:spacing w:before="240" w:after="160"/>
      <w:ind w:left="357" w:hanging="357"/>
      <w:contextualSpacing/>
      <w:outlineLvl w:val="1"/>
    </w:pPr>
    <w:rPr>
      <w:rFonts w:eastAsiaTheme="majorEastAsia" w:cstheme="majorBidi"/>
      <w:b/>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2371C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2371CA"/>
    <w:rPr>
      <w:sz w:val="20"/>
      <w:szCs w:val="20"/>
    </w:rPr>
  </w:style>
  <w:style w:type="character" w:styleId="DipnotBavurusu">
    <w:name w:val="footnote reference"/>
    <w:basedOn w:val="VarsaylanParagrafYazTipi"/>
    <w:uiPriority w:val="99"/>
    <w:semiHidden/>
    <w:unhideWhenUsed/>
    <w:rsid w:val="002371CA"/>
    <w:rPr>
      <w:vertAlign w:val="superscript"/>
    </w:rPr>
  </w:style>
  <w:style w:type="character" w:styleId="Kpr">
    <w:name w:val="Hyperlink"/>
    <w:basedOn w:val="VarsaylanParagrafYazTipi"/>
    <w:uiPriority w:val="99"/>
    <w:unhideWhenUsed/>
    <w:rsid w:val="00F61E45"/>
    <w:rPr>
      <w:color w:val="0563C1" w:themeColor="hyperlink"/>
      <w:u w:val="single"/>
    </w:rPr>
  </w:style>
  <w:style w:type="paragraph" w:styleId="ListeParagraf">
    <w:name w:val="List Paragraph"/>
    <w:basedOn w:val="Normal"/>
    <w:uiPriority w:val="34"/>
    <w:qFormat/>
    <w:rsid w:val="00E344E3"/>
    <w:pPr>
      <w:ind w:left="720"/>
      <w:contextualSpacing/>
    </w:pPr>
  </w:style>
  <w:style w:type="paragraph" w:styleId="stBilgi">
    <w:name w:val="header"/>
    <w:basedOn w:val="Normal"/>
    <w:link w:val="stBilgiChar"/>
    <w:uiPriority w:val="99"/>
    <w:unhideWhenUsed/>
    <w:rsid w:val="00B1770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1770C"/>
  </w:style>
  <w:style w:type="paragraph" w:styleId="AltBilgi">
    <w:name w:val="footer"/>
    <w:basedOn w:val="Normal"/>
    <w:link w:val="AltBilgiChar"/>
    <w:uiPriority w:val="99"/>
    <w:unhideWhenUsed/>
    <w:rsid w:val="00B1770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1770C"/>
  </w:style>
  <w:style w:type="table" w:styleId="TabloKlavuzu">
    <w:name w:val="Table Grid"/>
    <w:basedOn w:val="NormalTablo"/>
    <w:uiPriority w:val="39"/>
    <w:rsid w:val="00B1770C"/>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4C4976"/>
    <w:rPr>
      <w:rFonts w:ascii="Arial" w:eastAsiaTheme="majorEastAsia" w:hAnsi="Arial" w:cstheme="majorBidi"/>
      <w:b/>
      <w:sz w:val="24"/>
      <w:szCs w:val="32"/>
    </w:rPr>
  </w:style>
  <w:style w:type="character" w:styleId="zlenenKpr">
    <w:name w:val="FollowedHyperlink"/>
    <w:basedOn w:val="VarsaylanParagrafYazTipi"/>
    <w:uiPriority w:val="99"/>
    <w:semiHidden/>
    <w:unhideWhenUsed/>
    <w:rsid w:val="00D20AE8"/>
    <w:rPr>
      <w:color w:val="954F72" w:themeColor="followedHyperlink"/>
      <w:u w:val="single"/>
    </w:rPr>
  </w:style>
  <w:style w:type="paragraph" w:styleId="BalonMetni">
    <w:name w:val="Balloon Text"/>
    <w:basedOn w:val="Normal"/>
    <w:link w:val="BalonMetniChar"/>
    <w:uiPriority w:val="99"/>
    <w:semiHidden/>
    <w:unhideWhenUsed/>
    <w:rsid w:val="00294BF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94BFF"/>
    <w:rPr>
      <w:rFonts w:ascii="Segoe UI" w:hAnsi="Segoe UI" w:cs="Segoe UI"/>
      <w:sz w:val="18"/>
      <w:szCs w:val="18"/>
    </w:rPr>
  </w:style>
  <w:style w:type="character" w:customStyle="1" w:styleId="Balk2Char">
    <w:name w:val="Başlık 2 Char"/>
    <w:basedOn w:val="VarsaylanParagrafYazTipi"/>
    <w:link w:val="Balk2"/>
    <w:uiPriority w:val="9"/>
    <w:rsid w:val="004C4976"/>
    <w:rPr>
      <w:rFonts w:ascii="Arial" w:eastAsiaTheme="majorEastAsia" w:hAnsi="Arial" w:cstheme="majorBidi"/>
      <w:b/>
      <w:sz w:val="24"/>
      <w:szCs w:val="26"/>
    </w:rPr>
  </w:style>
  <w:style w:type="paragraph" w:styleId="ResimYazs">
    <w:name w:val="caption"/>
    <w:basedOn w:val="Normal"/>
    <w:next w:val="Normal"/>
    <w:uiPriority w:val="35"/>
    <w:unhideWhenUsed/>
    <w:qFormat/>
    <w:rsid w:val="00BE1381"/>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akro___erebilen_Microsoft_Excel__al__ma_Sayfas_.xlsm"/><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health.ec.europa.eu/system/files/2021-10/md_mdcg_2021_25_en_0.pdf" TargetMode="External"/><Relationship Id="rId3" Type="http://schemas.openxmlformats.org/officeDocument/2006/relationships/hyperlink" Target="https://health.ec.europa.eu/system/files/2020-09/md_mdcg_guidance_significant_changes_annexes_en_0.pdf" TargetMode="External"/><Relationship Id="rId7" Type="http://schemas.openxmlformats.org/officeDocument/2006/relationships/hyperlink" Target="https://health.ec.europa.eu/system/files/2021-10/md_mdcg_2021_25_en_0.pdf" TargetMode="External"/><Relationship Id="rId12" Type="http://schemas.openxmlformats.org/officeDocument/2006/relationships/hyperlink" Target="http://www.doks.nbog.eu/Doks/NBOG_BPG_2009_4_EN.pdf" TargetMode="External"/><Relationship Id="rId2" Type="http://schemas.openxmlformats.org/officeDocument/2006/relationships/hyperlink" Target="https://health.ec.europa.eu/system/files/2022-09/mdcg_2022-15_en.pdf" TargetMode="External"/><Relationship Id="rId1" Type="http://schemas.openxmlformats.org/officeDocument/2006/relationships/hyperlink" Target="https://health.ec.europa.eu/system/files/2021-10/md_mdcg_2021_25_en_0.pdf" TargetMode="External"/><Relationship Id="rId6" Type="http://schemas.openxmlformats.org/officeDocument/2006/relationships/hyperlink" Target="https://health.ec.europa.eu/system/files/2021-05/2021-1_guidance-administrative-practices_en_0.pdf" TargetMode="External"/><Relationship Id="rId11" Type="http://schemas.openxmlformats.org/officeDocument/2006/relationships/hyperlink" Target="https://health.ec.europa.eu/system/files/2020-09/md_mdcg_guidance_significant_changes_annexes_en_0.pdf" TargetMode="External"/><Relationship Id="rId5" Type="http://schemas.openxmlformats.org/officeDocument/2006/relationships/hyperlink" Target="https://health.ec.europa.eu/system/files/2020-07/md_application-transitional-provisions-certificates_en_0.pdf" TargetMode="External"/><Relationship Id="rId10" Type="http://schemas.openxmlformats.org/officeDocument/2006/relationships/hyperlink" Target="https://health.ec.europa.eu/medical-devices-sector/new-regulations/guidance-mdcg-endorsed-documents-and-other-guidance_en" TargetMode="External"/><Relationship Id="rId4" Type="http://schemas.openxmlformats.org/officeDocument/2006/relationships/hyperlink" Target="https://health.ec.europa.eu/system/files/2022-08/mdcg_2022-14_en.pdf" TargetMode="External"/><Relationship Id="rId9" Type="http://schemas.openxmlformats.org/officeDocument/2006/relationships/hyperlink" Target="https://health.ec.europa.eu/system/files/2020-09/md_mdcg_camd_mdr_en_0.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C2847-7A6F-4CCB-857C-9975B7AF1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9</Pages>
  <Words>2303</Words>
  <Characters>13128</Characters>
  <Application>Microsoft Office Word</Application>
  <DocSecurity>8</DocSecurity>
  <Lines>109</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Savaş B</dc:creator>
  <cp:lastModifiedBy>Güllü Ceyda İŞBAŞAR</cp:lastModifiedBy>
  <cp:revision>22</cp:revision>
  <dcterms:created xsi:type="dcterms:W3CDTF">2023-10-27T08:53:00Z</dcterms:created>
  <dcterms:modified xsi:type="dcterms:W3CDTF">2023-10-31T12:45:00Z</dcterms:modified>
</cp:coreProperties>
</file>